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Look w:val="04A0" w:firstRow="1" w:lastRow="0" w:firstColumn="1" w:lastColumn="0" w:noHBand="0" w:noVBand="1"/>
      </w:tblPr>
      <w:tblGrid>
        <w:gridCol w:w="2404"/>
        <w:gridCol w:w="4678"/>
        <w:gridCol w:w="8306"/>
      </w:tblGrid>
      <w:tr w:rsidR="005D3C8C" w:rsidRPr="00D23787" w14:paraId="0BBCCAED" w14:textId="77777777" w:rsidTr="00D23787">
        <w:tc>
          <w:tcPr>
            <w:tcW w:w="5000" w:type="pct"/>
            <w:gridSpan w:val="3"/>
            <w:tcBorders>
              <w:top w:val="single" w:sz="4" w:space="0" w:color="auto"/>
              <w:left w:val="single" w:sz="4" w:space="0" w:color="auto"/>
              <w:bottom w:val="single" w:sz="4" w:space="0" w:color="auto"/>
              <w:right w:val="single" w:sz="4" w:space="0" w:color="auto"/>
            </w:tcBorders>
            <w:shd w:val="clear" w:color="auto" w:fill="7030A0"/>
          </w:tcPr>
          <w:p w14:paraId="0460AC40" w14:textId="77777777" w:rsidR="005D3C8C" w:rsidRPr="00D23787" w:rsidRDefault="005D3C8C" w:rsidP="005F5732">
            <w:pPr>
              <w:rPr>
                <w:rFonts w:ascii="Arial" w:eastAsia="Calibri" w:hAnsi="Arial" w:cs="Arial"/>
                <w:b/>
                <w:color w:val="FFFFFF"/>
                <w:sz w:val="24"/>
                <w:szCs w:val="24"/>
              </w:rPr>
            </w:pPr>
            <w:r w:rsidRPr="00D23787">
              <w:rPr>
                <w:rFonts w:ascii="Arial" w:eastAsia="Calibri" w:hAnsi="Arial" w:cs="Arial"/>
                <w:b/>
                <w:color w:val="FFFFFF"/>
                <w:sz w:val="24"/>
                <w:szCs w:val="24"/>
              </w:rPr>
              <w:t>NON-LEGAL ADVOCACY (Section 3.1)</w:t>
            </w:r>
          </w:p>
        </w:tc>
      </w:tr>
      <w:tr w:rsidR="005D3C8C" w:rsidRPr="00D23787" w14:paraId="154F6C63" w14:textId="77777777" w:rsidTr="00D2378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C197FF"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 xml:space="preserve">The Royal Commission found that </w:t>
            </w:r>
            <w:r w:rsidRPr="00D23787">
              <w:rPr>
                <w:rFonts w:ascii="Arial" w:hAnsi="Arial" w:cs="Arial"/>
                <w:b/>
                <w:bCs/>
                <w:color w:val="7030A0"/>
                <w:sz w:val="20"/>
                <w:szCs w:val="20"/>
              </w:rPr>
              <w:t>non-legal advocacy</w:t>
            </w:r>
            <w:r w:rsidRPr="00D23787">
              <w:rPr>
                <w:rFonts w:ascii="Arial" w:hAnsi="Arial" w:cs="Arial"/>
                <w:color w:val="7030A0"/>
                <w:sz w:val="20"/>
                <w:szCs w:val="20"/>
              </w:rPr>
              <w:t xml:space="preserve"> </w:t>
            </w:r>
            <w:r w:rsidRPr="00D23787">
              <w:rPr>
                <w:rFonts w:ascii="Arial" w:hAnsi="Arial" w:cs="Arial"/>
                <w:sz w:val="20"/>
                <w:szCs w:val="20"/>
              </w:rPr>
              <w:t>is highly valued by consumers, effective in putting supported decision making into practice, and may drive down the use of coercive practices.</w:t>
            </w:r>
          </w:p>
          <w:p w14:paraId="71F110CA" w14:textId="77777777" w:rsidR="005D3C8C" w:rsidRPr="00D23787" w:rsidRDefault="005D3C8C" w:rsidP="005F5732">
            <w:pPr>
              <w:shd w:val="clear" w:color="auto" w:fill="FFFFFF"/>
              <w:outlineLvl w:val="2"/>
              <w:rPr>
                <w:rFonts w:ascii="Arial" w:hAnsi="Arial" w:cs="Arial"/>
                <w:sz w:val="20"/>
                <w:szCs w:val="20"/>
              </w:rPr>
            </w:pPr>
          </w:p>
          <w:p w14:paraId="481DF896"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The Royal Commission recommends (Rec 56) that the Victorian Government:  include a legislative provision in the new Mental Health and Wellbeing Act enabling an opt-out model of access to non-legal advocacy services for consumers who are subject to or at risk of compulsory treatment.</w:t>
            </w:r>
          </w:p>
          <w:p w14:paraId="40D67F37" w14:textId="0067D716" w:rsidR="005D3C8C" w:rsidRPr="00D23787" w:rsidRDefault="00D23787" w:rsidP="00D23787">
            <w:pPr>
              <w:shd w:val="clear" w:color="auto" w:fill="FFFFFF"/>
              <w:tabs>
                <w:tab w:val="left" w:pos="3435"/>
              </w:tabs>
              <w:outlineLvl w:val="2"/>
              <w:rPr>
                <w:rFonts w:ascii="Arial" w:hAnsi="Arial" w:cs="Arial"/>
                <w:sz w:val="20"/>
                <w:szCs w:val="20"/>
              </w:rPr>
            </w:pPr>
            <w:r w:rsidRPr="00D23787">
              <w:rPr>
                <w:rFonts w:ascii="Arial" w:hAnsi="Arial" w:cs="Arial"/>
                <w:sz w:val="20"/>
                <w:szCs w:val="20"/>
              </w:rPr>
              <w:tab/>
            </w:r>
          </w:p>
          <w:p w14:paraId="7FDB29F5"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 xml:space="preserve">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 xml:space="preserve">will ensure all consumers receiving, or at risk of receiving, compulsory treatment can connect with </w:t>
            </w:r>
            <w:r w:rsidRPr="00D23787">
              <w:rPr>
                <w:rFonts w:ascii="Arial" w:hAnsi="Arial" w:cs="Arial"/>
                <w:b/>
                <w:bCs/>
                <w:color w:val="7030A0"/>
                <w:sz w:val="20"/>
                <w:szCs w:val="20"/>
              </w:rPr>
              <w:t>non-legal advocacy services</w:t>
            </w:r>
            <w:r w:rsidRPr="00D23787">
              <w:rPr>
                <w:rFonts w:ascii="Arial" w:hAnsi="Arial" w:cs="Arial"/>
                <w:color w:val="7030A0"/>
                <w:sz w:val="20"/>
                <w:szCs w:val="20"/>
              </w:rPr>
              <w:t>.</w:t>
            </w:r>
          </w:p>
          <w:p w14:paraId="15E59910" w14:textId="77777777" w:rsidR="005D3C8C" w:rsidRPr="00D23787" w:rsidRDefault="005D3C8C" w:rsidP="005F5732">
            <w:pPr>
              <w:shd w:val="clear" w:color="auto" w:fill="FFFFFF"/>
              <w:outlineLvl w:val="2"/>
              <w:rPr>
                <w:rFonts w:ascii="Arial" w:hAnsi="Arial" w:cs="Arial"/>
                <w:sz w:val="20"/>
                <w:szCs w:val="20"/>
              </w:rPr>
            </w:pPr>
          </w:p>
          <w:p w14:paraId="242DB46F"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 xml:space="preserve">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 xml:space="preserve">will require mental health and wellbeing service providers to notify </w:t>
            </w:r>
            <w:r w:rsidRPr="00D23787">
              <w:rPr>
                <w:rFonts w:ascii="Arial" w:hAnsi="Arial" w:cs="Arial"/>
                <w:b/>
                <w:bCs/>
                <w:color w:val="7030A0"/>
                <w:sz w:val="20"/>
                <w:szCs w:val="20"/>
              </w:rPr>
              <w:t>non-legal advocacy services</w:t>
            </w:r>
            <w:r w:rsidRPr="00D23787">
              <w:rPr>
                <w:rFonts w:ascii="Arial" w:hAnsi="Arial" w:cs="Arial"/>
                <w:color w:val="7030A0"/>
                <w:sz w:val="20"/>
                <w:szCs w:val="20"/>
              </w:rPr>
              <w:t xml:space="preserve"> </w:t>
            </w:r>
            <w:r w:rsidRPr="00D23787">
              <w:rPr>
                <w:rFonts w:ascii="Arial" w:hAnsi="Arial" w:cs="Arial"/>
                <w:sz w:val="20"/>
                <w:szCs w:val="20"/>
              </w:rPr>
              <w:t>as soon as practicable, within 24 hours, after the making of an assessment order or a temporary treatment order. Necessary information will also be shared to allow the non-legal advocate to contact the consumer.</w:t>
            </w:r>
          </w:p>
          <w:p w14:paraId="086FD3F4" w14:textId="77777777" w:rsidR="005D3C8C" w:rsidRPr="00D23787" w:rsidRDefault="005D3C8C" w:rsidP="005F5732">
            <w:pPr>
              <w:shd w:val="clear" w:color="auto" w:fill="FFFFFF"/>
              <w:outlineLvl w:val="2"/>
              <w:rPr>
                <w:rFonts w:ascii="Arial" w:hAnsi="Arial" w:cs="Arial"/>
                <w:sz w:val="20"/>
                <w:szCs w:val="20"/>
              </w:rPr>
            </w:pPr>
          </w:p>
          <w:p w14:paraId="4522F203"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 xml:space="preserve">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will include protections to ensure advocates can connect with consumers such as not restricting communication with advocates and obligations to notify advocates when specific events occur such as the use of seclusion or restraint.</w:t>
            </w:r>
          </w:p>
          <w:p w14:paraId="68AB23AC" w14:textId="77777777" w:rsidR="005D3C8C" w:rsidRPr="00D23787" w:rsidRDefault="005D3C8C" w:rsidP="005F5732">
            <w:pPr>
              <w:shd w:val="clear" w:color="auto" w:fill="FFFFFF"/>
              <w:outlineLvl w:val="2"/>
              <w:rPr>
                <w:rFonts w:ascii="Arial" w:hAnsi="Arial" w:cs="Arial"/>
                <w:sz w:val="20"/>
                <w:szCs w:val="20"/>
              </w:rPr>
            </w:pPr>
          </w:p>
          <w:p w14:paraId="08845B60"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Consumers will have the right to opt out of this service if they choose.</w:t>
            </w:r>
          </w:p>
          <w:p w14:paraId="58B215D7" w14:textId="77777777" w:rsidR="005D3C8C" w:rsidRPr="00D23787" w:rsidRDefault="005D3C8C" w:rsidP="005F5732">
            <w:pPr>
              <w:shd w:val="clear" w:color="auto" w:fill="FFFFFF"/>
              <w:outlineLvl w:val="2"/>
              <w:rPr>
                <w:rFonts w:ascii="Arial" w:hAnsi="Arial" w:cs="Arial"/>
                <w:sz w:val="20"/>
                <w:szCs w:val="20"/>
              </w:rPr>
            </w:pPr>
          </w:p>
          <w:p w14:paraId="42FCBA23" w14:textId="77777777" w:rsidR="005D3C8C" w:rsidRPr="00D23787" w:rsidRDefault="005D3C8C" w:rsidP="005F5732">
            <w:pPr>
              <w:shd w:val="clear" w:color="auto" w:fill="FFFFFF"/>
              <w:outlineLvl w:val="2"/>
              <w:rPr>
                <w:rFonts w:ascii="Arial" w:hAnsi="Arial" w:cs="Arial"/>
                <w:sz w:val="20"/>
                <w:szCs w:val="20"/>
              </w:rPr>
            </w:pPr>
            <w:r w:rsidRPr="00D23787">
              <w:rPr>
                <w:rFonts w:ascii="Arial" w:hAnsi="Arial" w:cs="Arial"/>
                <w:sz w:val="20"/>
                <w:szCs w:val="20"/>
              </w:rPr>
              <w:t xml:space="preserve">To better recognise </w:t>
            </w:r>
            <w:r w:rsidRPr="00D23787">
              <w:rPr>
                <w:rFonts w:ascii="Arial" w:hAnsi="Arial" w:cs="Arial"/>
                <w:b/>
                <w:bCs/>
                <w:color w:val="7030A0"/>
                <w:sz w:val="20"/>
                <w:szCs w:val="20"/>
              </w:rPr>
              <w:t>non-legal advocacy</w:t>
            </w:r>
            <w:r w:rsidRPr="00D23787">
              <w:rPr>
                <w:rFonts w:ascii="Arial" w:hAnsi="Arial" w:cs="Arial"/>
                <w:sz w:val="20"/>
                <w:szCs w:val="20"/>
              </w:rPr>
              <w:t xml:space="preserve">, the Chief Officer for Mental Health and Wellbeing will be supported under the </w:t>
            </w:r>
            <w:r w:rsidRPr="00D23787">
              <w:rPr>
                <w:rFonts w:ascii="Arial" w:hAnsi="Arial" w:cs="Arial"/>
                <w:b/>
                <w:bCs/>
                <w:color w:val="7030A0"/>
                <w:sz w:val="20"/>
                <w:szCs w:val="20"/>
              </w:rPr>
              <w:t>new Act</w:t>
            </w:r>
            <w:r w:rsidRPr="00D23787">
              <w:rPr>
                <w:rFonts w:ascii="Arial" w:hAnsi="Arial" w:cs="Arial"/>
                <w:color w:val="7030A0"/>
                <w:sz w:val="20"/>
                <w:szCs w:val="20"/>
              </w:rPr>
              <w:t xml:space="preserve"> </w:t>
            </w:r>
            <w:r w:rsidRPr="00D23787">
              <w:rPr>
                <w:rFonts w:ascii="Arial" w:hAnsi="Arial" w:cs="Arial"/>
                <w:sz w:val="20"/>
                <w:szCs w:val="20"/>
              </w:rPr>
              <w:t xml:space="preserve">to issue operating guidelines for these services. These guidelines will clarify and give effect to the obligations of mental health service providers to engage with </w:t>
            </w:r>
            <w:r w:rsidRPr="00D23787">
              <w:rPr>
                <w:rFonts w:ascii="Arial" w:hAnsi="Arial" w:cs="Arial"/>
                <w:b/>
                <w:bCs/>
                <w:color w:val="7030A0"/>
                <w:sz w:val="20"/>
                <w:szCs w:val="20"/>
              </w:rPr>
              <w:t>non-legal advocacy</w:t>
            </w:r>
            <w:r w:rsidRPr="00D23787">
              <w:rPr>
                <w:rFonts w:ascii="Arial" w:hAnsi="Arial" w:cs="Arial"/>
                <w:color w:val="7030A0"/>
                <w:sz w:val="20"/>
                <w:szCs w:val="20"/>
              </w:rPr>
              <w:t xml:space="preserve"> </w:t>
            </w:r>
            <w:r w:rsidRPr="00D23787">
              <w:rPr>
                <w:rFonts w:ascii="Arial" w:hAnsi="Arial" w:cs="Arial"/>
                <w:sz w:val="20"/>
                <w:szCs w:val="20"/>
              </w:rPr>
              <w:t>services.</w:t>
            </w:r>
          </w:p>
          <w:p w14:paraId="747DB32B" w14:textId="77777777" w:rsidR="005D3C8C" w:rsidRPr="00D23787" w:rsidRDefault="005D3C8C" w:rsidP="005F5732">
            <w:pPr>
              <w:shd w:val="clear" w:color="auto" w:fill="FFFFFF"/>
              <w:outlineLvl w:val="2"/>
              <w:rPr>
                <w:rFonts w:ascii="Arial" w:eastAsia="Times New Roman" w:hAnsi="Arial" w:cs="Arial"/>
                <w:b/>
                <w:bCs/>
                <w:color w:val="011A3C"/>
                <w:sz w:val="20"/>
                <w:szCs w:val="20"/>
                <w:lang w:eastAsia="en-AU"/>
              </w:rPr>
            </w:pPr>
          </w:p>
        </w:tc>
      </w:tr>
      <w:tr w:rsidR="005D3C8C" w:rsidRPr="00D23787" w14:paraId="02B380EA" w14:textId="77777777" w:rsidTr="00D23787">
        <w:tc>
          <w:tcPr>
            <w:tcW w:w="781" w:type="pct"/>
            <w:tcBorders>
              <w:top w:val="single" w:sz="4" w:space="0" w:color="auto"/>
              <w:left w:val="single" w:sz="12" w:space="0" w:color="auto"/>
              <w:bottom w:val="single" w:sz="4" w:space="0" w:color="auto"/>
              <w:right w:val="single" w:sz="4" w:space="0" w:color="auto"/>
            </w:tcBorders>
            <w:shd w:val="clear" w:color="auto" w:fill="FF4343"/>
          </w:tcPr>
          <w:p w14:paraId="22FDDDDF" w14:textId="77777777" w:rsidR="005D3C8C" w:rsidRPr="00D23787" w:rsidRDefault="005D3C8C" w:rsidP="005F5732">
            <w:pPr>
              <w:rPr>
                <w:rFonts w:ascii="Arial" w:eastAsia="Calibri" w:hAnsi="Arial" w:cs="Arial"/>
                <w:b/>
                <w:color w:val="FFFFFF"/>
                <w:sz w:val="24"/>
                <w:szCs w:val="24"/>
              </w:rPr>
            </w:pPr>
            <w:r w:rsidRPr="00D23787">
              <w:rPr>
                <w:rFonts w:ascii="Arial" w:eastAsia="Calibri" w:hAnsi="Arial" w:cs="Arial"/>
                <w:b/>
                <w:color w:val="FFFFFF"/>
                <w:sz w:val="24"/>
                <w:szCs w:val="24"/>
              </w:rPr>
              <w:t>Question</w:t>
            </w:r>
          </w:p>
        </w:tc>
        <w:tc>
          <w:tcPr>
            <w:tcW w:w="1520" w:type="pct"/>
            <w:tcBorders>
              <w:top w:val="single" w:sz="4" w:space="0" w:color="auto"/>
              <w:left w:val="single" w:sz="4" w:space="0" w:color="auto"/>
              <w:bottom w:val="single" w:sz="4" w:space="0" w:color="auto"/>
              <w:right w:val="single" w:sz="4" w:space="0" w:color="auto"/>
            </w:tcBorders>
            <w:shd w:val="clear" w:color="auto" w:fill="FF4343"/>
          </w:tcPr>
          <w:p w14:paraId="00356791" w14:textId="5CED2099" w:rsidR="005D3C8C" w:rsidRPr="00D23787" w:rsidRDefault="00D23787" w:rsidP="005F5732">
            <w:pPr>
              <w:rPr>
                <w:rFonts w:ascii="Arial" w:eastAsia="Calibri" w:hAnsi="Arial" w:cs="Arial"/>
                <w:b/>
                <w:color w:val="FFFFFF"/>
                <w:sz w:val="24"/>
                <w:szCs w:val="24"/>
              </w:rPr>
            </w:pPr>
            <w:r>
              <w:rPr>
                <w:rFonts w:ascii="Arial" w:eastAsia="Calibri" w:hAnsi="Arial" w:cs="Arial"/>
                <w:b/>
                <w:color w:val="FFFFFF"/>
                <w:sz w:val="24"/>
                <w:szCs w:val="24"/>
              </w:rPr>
              <w:t>What Has Been Said by C</w:t>
            </w:r>
            <w:r w:rsidR="005D3C8C" w:rsidRPr="00D23787">
              <w:rPr>
                <w:rFonts w:ascii="Arial" w:eastAsia="Calibri" w:hAnsi="Arial" w:cs="Arial"/>
                <w:b/>
                <w:color w:val="FFFFFF"/>
                <w:sz w:val="24"/>
                <w:szCs w:val="24"/>
              </w:rPr>
              <w:t>onsumers</w:t>
            </w:r>
          </w:p>
        </w:tc>
        <w:tc>
          <w:tcPr>
            <w:tcW w:w="2699" w:type="pct"/>
            <w:tcBorders>
              <w:top w:val="single" w:sz="4" w:space="0" w:color="auto"/>
              <w:left w:val="single" w:sz="4" w:space="0" w:color="auto"/>
              <w:bottom w:val="nil"/>
              <w:right w:val="single" w:sz="4" w:space="0" w:color="auto"/>
            </w:tcBorders>
            <w:shd w:val="clear" w:color="auto" w:fill="FF4343"/>
          </w:tcPr>
          <w:p w14:paraId="1BD2D7F5" w14:textId="4D4C11AF" w:rsidR="005D3C8C" w:rsidRPr="00D23787" w:rsidRDefault="00D23787" w:rsidP="005F5732">
            <w:pPr>
              <w:rPr>
                <w:rFonts w:ascii="Arial" w:eastAsia="Calibri" w:hAnsi="Arial" w:cs="Arial"/>
                <w:b/>
                <w:color w:val="FFFFFF"/>
                <w:sz w:val="24"/>
                <w:szCs w:val="24"/>
              </w:rPr>
            </w:pPr>
            <w:r>
              <w:rPr>
                <w:rFonts w:ascii="Arial" w:eastAsia="Calibri" w:hAnsi="Arial" w:cs="Arial"/>
                <w:b/>
                <w:color w:val="FFFFFF"/>
                <w:sz w:val="24"/>
                <w:szCs w:val="24"/>
              </w:rPr>
              <w:t>Your Ideas for Answering the Q</w:t>
            </w:r>
            <w:r w:rsidR="005D3C8C" w:rsidRPr="00D23787">
              <w:rPr>
                <w:rFonts w:ascii="Arial" w:eastAsia="Calibri" w:hAnsi="Arial" w:cs="Arial"/>
                <w:b/>
                <w:color w:val="FFFFFF"/>
                <w:sz w:val="24"/>
                <w:szCs w:val="24"/>
              </w:rPr>
              <w:t>uestions</w:t>
            </w:r>
          </w:p>
        </w:tc>
      </w:tr>
      <w:tr w:rsidR="005D3C8C" w:rsidRPr="00D23787" w14:paraId="4743E1BE" w14:textId="77777777" w:rsidTr="00D23787">
        <w:tc>
          <w:tcPr>
            <w:tcW w:w="781" w:type="pct"/>
            <w:tcBorders>
              <w:top w:val="single" w:sz="4" w:space="0" w:color="auto"/>
              <w:left w:val="single" w:sz="4" w:space="0" w:color="auto"/>
              <w:bottom w:val="single" w:sz="4" w:space="0" w:color="auto"/>
              <w:right w:val="single" w:sz="4" w:space="0" w:color="auto"/>
            </w:tcBorders>
            <w:shd w:val="clear" w:color="auto" w:fill="auto"/>
          </w:tcPr>
          <w:p w14:paraId="3B6547A2" w14:textId="2AB30497" w:rsidR="005D3C8C" w:rsidRPr="00D23787" w:rsidRDefault="005D3C8C" w:rsidP="00FC0DA7">
            <w:pPr>
              <w:rPr>
                <w:rFonts w:ascii="Arial" w:hAnsi="Arial" w:cs="Arial"/>
                <w:sz w:val="20"/>
                <w:szCs w:val="20"/>
                <w:shd w:val="clear" w:color="auto" w:fill="FFFFFF"/>
              </w:rPr>
            </w:pPr>
            <w:bookmarkStart w:id="0" w:name="_GoBack" w:colFirst="0" w:colLast="0"/>
            <w:r w:rsidRPr="00D23787">
              <w:rPr>
                <w:rFonts w:ascii="Arial" w:hAnsi="Arial" w:cs="Arial"/>
                <w:color w:val="FF0000"/>
                <w:sz w:val="20"/>
                <w:szCs w:val="20"/>
                <w:shd w:val="clear" w:color="auto" w:fill="FFFFFF"/>
              </w:rPr>
              <w:t>Question 3</w:t>
            </w:r>
            <w:r w:rsidRPr="00D23787">
              <w:rPr>
                <w:rFonts w:ascii="Arial" w:hAnsi="Arial" w:cs="Arial"/>
                <w:sz w:val="20"/>
                <w:szCs w:val="20"/>
                <w:shd w:val="clear" w:color="auto" w:fill="FFFFFF"/>
              </w:rPr>
              <w:t xml:space="preserve">: </w:t>
            </w:r>
            <w:r w:rsidR="00D23787">
              <w:rPr>
                <w:rFonts w:ascii="Arial" w:hAnsi="Arial" w:cs="Arial"/>
                <w:sz w:val="20"/>
                <w:szCs w:val="20"/>
                <w:shd w:val="clear" w:color="auto" w:fill="FFFFFF"/>
              </w:rPr>
              <w:br/>
            </w:r>
            <w:r w:rsidRPr="00D23787">
              <w:rPr>
                <w:rFonts w:ascii="Arial" w:hAnsi="Arial" w:cs="Arial"/>
                <w:sz w:val="20"/>
                <w:szCs w:val="20"/>
                <w:shd w:val="clear" w:color="auto" w:fill="FFFFFF"/>
              </w:rPr>
              <w:t>Do you think the proposals meet the Royal Commission’s recommendations about non-legal advocacy? (Section 3.1 in the paper)</w:t>
            </w:r>
          </w:p>
          <w:p w14:paraId="3779D54A" w14:textId="77777777" w:rsidR="005D3C8C" w:rsidRPr="00D23787" w:rsidRDefault="005D3C8C" w:rsidP="00FC0DA7">
            <w:pPr>
              <w:rPr>
                <w:rFonts w:ascii="Arial" w:eastAsia="Calibri" w:hAnsi="Arial" w:cs="Arial"/>
                <w:sz w:val="20"/>
                <w:szCs w:val="20"/>
                <w:shd w:val="clear" w:color="auto" w:fill="FFFFFF"/>
              </w:rPr>
            </w:pPr>
          </w:p>
          <w:p w14:paraId="57F854A5" w14:textId="77777777" w:rsidR="005D3C8C" w:rsidRPr="00D23787" w:rsidRDefault="005D3C8C" w:rsidP="00FC0DA7">
            <w:pPr>
              <w:rPr>
                <w:rFonts w:ascii="Arial" w:eastAsia="Calibri" w:hAnsi="Arial" w:cs="Arial"/>
                <w:sz w:val="20"/>
                <w:szCs w:val="20"/>
              </w:rPr>
            </w:pPr>
          </w:p>
          <w:p w14:paraId="6CD412D5" w14:textId="77777777" w:rsidR="005D3C8C" w:rsidRPr="00D23787" w:rsidRDefault="005D3C8C" w:rsidP="00FC0DA7">
            <w:pPr>
              <w:rPr>
                <w:rFonts w:ascii="Arial" w:eastAsia="Calibri" w:hAnsi="Arial" w:cs="Arial"/>
                <w:sz w:val="20"/>
                <w:szCs w:val="20"/>
              </w:rPr>
            </w:pPr>
          </w:p>
        </w:tc>
        <w:tc>
          <w:tcPr>
            <w:tcW w:w="1520" w:type="pct"/>
            <w:vMerge w:val="restart"/>
            <w:tcBorders>
              <w:top w:val="single" w:sz="4" w:space="0" w:color="auto"/>
              <w:left w:val="single" w:sz="4" w:space="0" w:color="auto"/>
              <w:right w:val="single" w:sz="4" w:space="0" w:color="auto"/>
            </w:tcBorders>
            <w:shd w:val="clear" w:color="auto" w:fill="auto"/>
          </w:tcPr>
          <w:p w14:paraId="1EE36DDE" w14:textId="77777777" w:rsidR="005D3C8C" w:rsidRPr="00D23787" w:rsidRDefault="005D3C8C" w:rsidP="005F5732">
            <w:pPr>
              <w:rPr>
                <w:rFonts w:ascii="Arial" w:eastAsia="Calibri" w:hAnsi="Arial" w:cs="Arial"/>
                <w:sz w:val="20"/>
                <w:szCs w:val="20"/>
              </w:rPr>
            </w:pPr>
            <w:r w:rsidRPr="00D23787">
              <w:rPr>
                <w:rFonts w:ascii="Arial" w:eastAsia="Calibri" w:hAnsi="Arial" w:cs="Arial"/>
                <w:sz w:val="20"/>
                <w:szCs w:val="20"/>
              </w:rPr>
              <w:t>Guidelines can be ignored by services so as much as possible should be in the act.</w:t>
            </w:r>
          </w:p>
          <w:p w14:paraId="15FA9420" w14:textId="77777777" w:rsidR="005D3C8C" w:rsidRPr="00D23787" w:rsidRDefault="005D3C8C" w:rsidP="005F5732">
            <w:pPr>
              <w:rPr>
                <w:rFonts w:ascii="Arial" w:eastAsia="Calibri" w:hAnsi="Arial" w:cs="Arial"/>
                <w:sz w:val="20"/>
                <w:szCs w:val="20"/>
              </w:rPr>
            </w:pPr>
            <w:r w:rsidRPr="00D23787">
              <w:rPr>
                <w:rFonts w:ascii="Arial" w:eastAsia="Calibri" w:hAnsi="Arial" w:cs="Arial"/>
                <w:sz w:val="20"/>
                <w:szCs w:val="20"/>
              </w:rPr>
              <w:t>The act must include the opt out model of independent advocacy.</w:t>
            </w:r>
          </w:p>
          <w:p w14:paraId="49114520" w14:textId="77777777" w:rsidR="005D3C8C" w:rsidRPr="00D23787" w:rsidRDefault="005D3C8C" w:rsidP="005F5732">
            <w:pPr>
              <w:rPr>
                <w:rFonts w:ascii="Arial" w:eastAsia="Calibri" w:hAnsi="Arial" w:cs="Arial"/>
                <w:sz w:val="20"/>
                <w:szCs w:val="20"/>
              </w:rPr>
            </w:pPr>
            <w:r w:rsidRPr="00D23787">
              <w:rPr>
                <w:rFonts w:ascii="Arial" w:eastAsia="Calibri" w:hAnsi="Arial" w:cs="Arial"/>
                <w:sz w:val="20"/>
                <w:szCs w:val="20"/>
              </w:rPr>
              <w:t>The Act must expressly protect the right of access</w:t>
            </w:r>
          </w:p>
          <w:p w14:paraId="3695AAA0" w14:textId="77777777" w:rsidR="005D3C8C" w:rsidRPr="00D23787" w:rsidRDefault="005D3C8C" w:rsidP="005D3C8C">
            <w:pPr>
              <w:pStyle w:val="ListParagraph"/>
              <w:numPr>
                <w:ilvl w:val="0"/>
                <w:numId w:val="1"/>
              </w:numPr>
              <w:ind w:left="465"/>
              <w:rPr>
                <w:rFonts w:ascii="Arial" w:eastAsia="Calibri" w:hAnsi="Arial" w:cs="Arial"/>
                <w:sz w:val="20"/>
                <w:szCs w:val="20"/>
              </w:rPr>
            </w:pPr>
            <w:r w:rsidRPr="00D23787">
              <w:rPr>
                <w:rFonts w:ascii="Arial" w:eastAsia="Calibri" w:hAnsi="Arial" w:cs="Arial"/>
                <w:sz w:val="20"/>
                <w:szCs w:val="20"/>
              </w:rPr>
              <w:t>to all authorised mental health services</w:t>
            </w:r>
          </w:p>
          <w:p w14:paraId="26BF9956" w14:textId="77777777" w:rsidR="005D3C8C" w:rsidRPr="00D23787" w:rsidRDefault="005D3C8C" w:rsidP="005D3C8C">
            <w:pPr>
              <w:pStyle w:val="ListParagraph"/>
              <w:numPr>
                <w:ilvl w:val="0"/>
                <w:numId w:val="1"/>
              </w:numPr>
              <w:ind w:left="465"/>
              <w:rPr>
                <w:rFonts w:ascii="Arial" w:eastAsia="Calibri" w:hAnsi="Arial" w:cs="Arial"/>
                <w:sz w:val="20"/>
                <w:szCs w:val="20"/>
              </w:rPr>
            </w:pPr>
            <w:r w:rsidRPr="00D23787">
              <w:rPr>
                <w:rFonts w:ascii="Arial" w:eastAsia="Calibri" w:hAnsi="Arial" w:cs="Arial"/>
                <w:sz w:val="20"/>
                <w:szCs w:val="20"/>
              </w:rPr>
              <w:t>to the mental health system database to see who is on an order under the Act and (only) their contact details.</w:t>
            </w:r>
          </w:p>
          <w:p w14:paraId="1F6A5096" w14:textId="77777777" w:rsidR="005D3C8C" w:rsidRPr="00D23787" w:rsidRDefault="005D3C8C" w:rsidP="00D23787">
            <w:pPr>
              <w:rPr>
                <w:rFonts w:ascii="Arial" w:eastAsia="Calibri" w:hAnsi="Arial" w:cs="Arial"/>
                <w:sz w:val="20"/>
                <w:szCs w:val="20"/>
              </w:rPr>
            </w:pPr>
            <w:r w:rsidRPr="00D23787">
              <w:rPr>
                <w:rFonts w:ascii="Arial" w:eastAsia="Calibri" w:hAnsi="Arial" w:cs="Arial"/>
                <w:sz w:val="20"/>
                <w:szCs w:val="20"/>
              </w:rPr>
              <w:t>Where the consumer consents, an independent advocate:</w:t>
            </w:r>
          </w:p>
          <w:p w14:paraId="4CA243E3" w14:textId="0CEF6D2C" w:rsidR="005D3C8C" w:rsidRPr="00D23787" w:rsidRDefault="005D3C8C" w:rsidP="005D3C8C">
            <w:pPr>
              <w:pStyle w:val="ListParagraph"/>
              <w:numPr>
                <w:ilvl w:val="0"/>
                <w:numId w:val="2"/>
              </w:numPr>
              <w:ind w:left="465"/>
              <w:rPr>
                <w:rFonts w:ascii="Arial" w:eastAsia="Calibri" w:hAnsi="Arial" w:cs="Arial"/>
                <w:sz w:val="20"/>
                <w:szCs w:val="20"/>
              </w:rPr>
            </w:pPr>
            <w:r w:rsidRPr="00D23787">
              <w:rPr>
                <w:rFonts w:ascii="Arial" w:eastAsia="Calibri" w:hAnsi="Arial" w:cs="Arial"/>
                <w:sz w:val="20"/>
                <w:szCs w:val="20"/>
              </w:rPr>
              <w:t>cannot be prevented by a service from meeting with a consumer.</w:t>
            </w:r>
          </w:p>
          <w:p w14:paraId="08133A8D" w14:textId="3BCAFEB3" w:rsidR="005D3C8C" w:rsidRPr="00D23787" w:rsidRDefault="005D3C8C" w:rsidP="005D3C8C">
            <w:pPr>
              <w:pStyle w:val="ListParagraph"/>
              <w:numPr>
                <w:ilvl w:val="0"/>
                <w:numId w:val="2"/>
              </w:numPr>
              <w:ind w:left="465"/>
              <w:rPr>
                <w:rFonts w:ascii="Arial" w:eastAsia="Calibri" w:hAnsi="Arial" w:cs="Arial"/>
                <w:sz w:val="20"/>
                <w:szCs w:val="20"/>
              </w:rPr>
            </w:pPr>
            <w:r w:rsidRPr="00D23787">
              <w:rPr>
                <w:rFonts w:ascii="Arial" w:eastAsia="Calibri" w:hAnsi="Arial" w:cs="Arial"/>
                <w:sz w:val="20"/>
                <w:szCs w:val="20"/>
              </w:rPr>
              <w:t>cannot be prevented from attending a service meeting with a consumer.</w:t>
            </w:r>
          </w:p>
          <w:p w14:paraId="64B9F9F4" w14:textId="77777777" w:rsidR="005D3C8C" w:rsidRPr="00D23787" w:rsidRDefault="005D3C8C" w:rsidP="005D3C8C">
            <w:pPr>
              <w:pStyle w:val="ListParagraph"/>
              <w:numPr>
                <w:ilvl w:val="0"/>
                <w:numId w:val="2"/>
              </w:numPr>
              <w:ind w:left="465"/>
              <w:rPr>
                <w:rFonts w:ascii="Arial" w:eastAsia="Calibri" w:hAnsi="Arial" w:cs="Arial"/>
                <w:sz w:val="20"/>
                <w:szCs w:val="20"/>
              </w:rPr>
            </w:pPr>
            <w:r w:rsidRPr="00D23787">
              <w:rPr>
                <w:rFonts w:ascii="Arial" w:eastAsia="Calibri" w:hAnsi="Arial" w:cs="Arial"/>
                <w:sz w:val="20"/>
                <w:szCs w:val="20"/>
              </w:rPr>
              <w:t>can access consumer records</w:t>
            </w:r>
          </w:p>
        </w:tc>
        <w:tc>
          <w:tcPr>
            <w:tcW w:w="2699" w:type="pct"/>
            <w:tcBorders>
              <w:top w:val="single" w:sz="4" w:space="0" w:color="auto"/>
              <w:left w:val="single" w:sz="4" w:space="0" w:color="auto"/>
              <w:bottom w:val="single" w:sz="4" w:space="0" w:color="auto"/>
              <w:right w:val="single" w:sz="4" w:space="0" w:color="auto"/>
            </w:tcBorders>
            <w:shd w:val="clear" w:color="auto" w:fill="auto"/>
          </w:tcPr>
          <w:p w14:paraId="4DB6F176" w14:textId="77777777" w:rsidR="005D3C8C" w:rsidRPr="00D23787" w:rsidRDefault="005D3C8C" w:rsidP="005F5732">
            <w:pPr>
              <w:rPr>
                <w:rFonts w:ascii="Arial" w:hAnsi="Arial" w:cs="Arial"/>
                <w:color w:val="FF0000"/>
                <w:sz w:val="20"/>
                <w:szCs w:val="20"/>
                <w:shd w:val="clear" w:color="auto" w:fill="FFFFFF"/>
              </w:rPr>
            </w:pPr>
            <w:r w:rsidRPr="00D23787">
              <w:rPr>
                <w:rFonts w:ascii="Arial" w:hAnsi="Arial" w:cs="Arial"/>
                <w:color w:val="FF0000"/>
                <w:sz w:val="20"/>
                <w:szCs w:val="20"/>
                <w:shd w:val="clear" w:color="auto" w:fill="FFFFFF"/>
              </w:rPr>
              <w:t>Your response to Question 3</w:t>
            </w:r>
          </w:p>
          <w:p w14:paraId="7E5A2450" w14:textId="77777777" w:rsidR="005D3C8C" w:rsidRPr="00D23787" w:rsidRDefault="005D3C8C" w:rsidP="005F5732">
            <w:pPr>
              <w:rPr>
                <w:rFonts w:ascii="Arial" w:hAnsi="Arial" w:cs="Arial"/>
                <w:color w:val="FF0000"/>
                <w:sz w:val="20"/>
                <w:szCs w:val="20"/>
              </w:rPr>
            </w:pPr>
            <w:r w:rsidRPr="00D23787">
              <w:rPr>
                <w:rFonts w:ascii="Arial" w:hAnsi="Arial" w:cs="Arial"/>
                <w:color w:val="FF0000"/>
                <w:sz w:val="20"/>
                <w:szCs w:val="20"/>
              </w:rPr>
              <w:t>If no, why?</w:t>
            </w:r>
          </w:p>
          <w:p w14:paraId="63301935" w14:textId="77777777" w:rsidR="005D3C8C" w:rsidRPr="00D23787" w:rsidRDefault="005D3C8C" w:rsidP="005F5732">
            <w:pPr>
              <w:rPr>
                <w:rFonts w:ascii="Arial" w:eastAsia="Calibri" w:hAnsi="Arial" w:cs="Arial"/>
                <w:sz w:val="20"/>
                <w:szCs w:val="20"/>
              </w:rPr>
            </w:pPr>
          </w:p>
        </w:tc>
      </w:tr>
      <w:tr w:rsidR="005D3C8C" w:rsidRPr="00D23787" w14:paraId="7C01D3AE" w14:textId="77777777" w:rsidTr="00D23787">
        <w:tc>
          <w:tcPr>
            <w:tcW w:w="781" w:type="pct"/>
            <w:tcBorders>
              <w:top w:val="single" w:sz="4" w:space="0" w:color="auto"/>
              <w:left w:val="single" w:sz="4" w:space="0" w:color="auto"/>
              <w:bottom w:val="single" w:sz="4" w:space="0" w:color="auto"/>
              <w:right w:val="single" w:sz="4" w:space="0" w:color="auto"/>
            </w:tcBorders>
            <w:shd w:val="clear" w:color="auto" w:fill="auto"/>
          </w:tcPr>
          <w:p w14:paraId="0A865151" w14:textId="66363367" w:rsidR="005D3C8C" w:rsidRPr="00D23787" w:rsidRDefault="005D3C8C" w:rsidP="00FC0DA7">
            <w:pPr>
              <w:rPr>
                <w:rFonts w:ascii="Arial" w:eastAsia="Calibri" w:hAnsi="Arial" w:cs="Arial"/>
                <w:sz w:val="20"/>
                <w:szCs w:val="20"/>
                <w:shd w:val="clear" w:color="auto" w:fill="FFFFFF"/>
              </w:rPr>
            </w:pPr>
            <w:r w:rsidRPr="00D23787">
              <w:rPr>
                <w:rFonts w:ascii="Arial" w:hAnsi="Arial" w:cs="Arial"/>
                <w:color w:val="FF0000"/>
                <w:sz w:val="20"/>
                <w:szCs w:val="20"/>
                <w:shd w:val="clear" w:color="auto" w:fill="FFFFFF"/>
              </w:rPr>
              <w:t>Question 4</w:t>
            </w:r>
            <w:r w:rsidRPr="00D23787">
              <w:rPr>
                <w:rFonts w:ascii="Arial" w:hAnsi="Arial" w:cs="Arial"/>
                <w:sz w:val="20"/>
                <w:szCs w:val="20"/>
                <w:shd w:val="clear" w:color="auto" w:fill="FFFFFF"/>
              </w:rPr>
              <w:t xml:space="preserve">: </w:t>
            </w:r>
            <w:r w:rsidR="00D23787">
              <w:rPr>
                <w:rFonts w:ascii="Arial" w:hAnsi="Arial" w:cs="Arial"/>
                <w:sz w:val="20"/>
                <w:szCs w:val="20"/>
                <w:shd w:val="clear" w:color="auto" w:fill="FFFFFF"/>
              </w:rPr>
              <w:br/>
            </w:r>
            <w:r w:rsidRPr="00D23787">
              <w:rPr>
                <w:rFonts w:ascii="Arial" w:hAnsi="Arial" w:cs="Arial"/>
                <w:sz w:val="20"/>
                <w:szCs w:val="20"/>
                <w:shd w:val="clear" w:color="auto" w:fill="FFFFFF"/>
              </w:rPr>
              <w:t xml:space="preserve">How do you think the proposals about non-legal advocacy </w:t>
            </w:r>
            <w:proofErr w:type="gramStart"/>
            <w:r w:rsidRPr="00D23787">
              <w:rPr>
                <w:rFonts w:ascii="Arial" w:hAnsi="Arial" w:cs="Arial"/>
                <w:sz w:val="20"/>
                <w:szCs w:val="20"/>
                <w:shd w:val="clear" w:color="auto" w:fill="FFFFFF"/>
              </w:rPr>
              <w:t>could be improved</w:t>
            </w:r>
            <w:proofErr w:type="gramEnd"/>
            <w:r w:rsidRPr="00D23787">
              <w:rPr>
                <w:rFonts w:ascii="Arial" w:hAnsi="Arial" w:cs="Arial"/>
                <w:sz w:val="20"/>
                <w:szCs w:val="20"/>
                <w:shd w:val="clear" w:color="auto" w:fill="FFFFFF"/>
              </w:rPr>
              <w:t>? (Section 3.1 in the paper)</w:t>
            </w:r>
          </w:p>
          <w:p w14:paraId="673C92ED" w14:textId="77777777" w:rsidR="005D3C8C" w:rsidRPr="00D23787" w:rsidRDefault="005D3C8C" w:rsidP="00FC0DA7">
            <w:pPr>
              <w:rPr>
                <w:rFonts w:ascii="Arial" w:eastAsia="Calibri" w:hAnsi="Arial" w:cs="Arial"/>
                <w:sz w:val="20"/>
                <w:szCs w:val="20"/>
                <w:shd w:val="clear" w:color="auto" w:fill="FFFFFF"/>
              </w:rPr>
            </w:pPr>
          </w:p>
          <w:p w14:paraId="7EBA6C68" w14:textId="77777777" w:rsidR="005D3C8C" w:rsidRPr="00D23787" w:rsidRDefault="005D3C8C" w:rsidP="00FC0DA7">
            <w:pPr>
              <w:rPr>
                <w:rFonts w:ascii="Arial" w:eastAsia="Calibri" w:hAnsi="Arial" w:cs="Arial"/>
                <w:sz w:val="20"/>
                <w:szCs w:val="20"/>
              </w:rPr>
            </w:pPr>
          </w:p>
        </w:tc>
        <w:tc>
          <w:tcPr>
            <w:tcW w:w="1520" w:type="pct"/>
            <w:vMerge/>
            <w:tcBorders>
              <w:left w:val="single" w:sz="4" w:space="0" w:color="auto"/>
              <w:bottom w:val="single" w:sz="4" w:space="0" w:color="auto"/>
              <w:right w:val="single" w:sz="4" w:space="0" w:color="auto"/>
            </w:tcBorders>
            <w:shd w:val="clear" w:color="auto" w:fill="auto"/>
          </w:tcPr>
          <w:p w14:paraId="50DDCB2A" w14:textId="77777777" w:rsidR="005D3C8C" w:rsidRPr="00D23787" w:rsidRDefault="005D3C8C" w:rsidP="005F5732">
            <w:pPr>
              <w:rPr>
                <w:rFonts w:ascii="Arial" w:eastAsia="Calibri" w:hAnsi="Arial" w:cs="Arial"/>
                <w:sz w:val="20"/>
                <w:szCs w:val="20"/>
              </w:rPr>
            </w:pPr>
          </w:p>
        </w:tc>
        <w:tc>
          <w:tcPr>
            <w:tcW w:w="2699" w:type="pct"/>
            <w:tcBorders>
              <w:top w:val="single" w:sz="4" w:space="0" w:color="auto"/>
              <w:left w:val="single" w:sz="4" w:space="0" w:color="auto"/>
              <w:bottom w:val="single" w:sz="4" w:space="0" w:color="auto"/>
              <w:right w:val="single" w:sz="4" w:space="0" w:color="auto"/>
            </w:tcBorders>
            <w:shd w:val="clear" w:color="auto" w:fill="auto"/>
          </w:tcPr>
          <w:p w14:paraId="67C7EDFC" w14:textId="77777777" w:rsidR="005D3C8C" w:rsidRPr="00D23787" w:rsidRDefault="005D3C8C" w:rsidP="005F5732">
            <w:pPr>
              <w:rPr>
                <w:rFonts w:ascii="Arial" w:eastAsia="Calibri" w:hAnsi="Arial" w:cs="Arial"/>
                <w:sz w:val="20"/>
                <w:szCs w:val="20"/>
              </w:rPr>
            </w:pPr>
            <w:r w:rsidRPr="00D23787">
              <w:rPr>
                <w:rFonts w:ascii="Arial" w:hAnsi="Arial" w:cs="Arial"/>
                <w:color w:val="FF0000"/>
                <w:sz w:val="20"/>
                <w:szCs w:val="20"/>
                <w:shd w:val="clear" w:color="auto" w:fill="FFFFFF"/>
              </w:rPr>
              <w:t>Your response to Question 4</w:t>
            </w:r>
          </w:p>
        </w:tc>
      </w:tr>
      <w:bookmarkEnd w:id="0"/>
    </w:tbl>
    <w:p w14:paraId="1DFBB8A9" w14:textId="77777777" w:rsidR="00EB3417" w:rsidRPr="00D23787" w:rsidRDefault="004641BD" w:rsidP="00D23787">
      <w:pPr>
        <w:rPr>
          <w:rFonts w:ascii="Arial" w:hAnsi="Arial" w:cs="Arial"/>
        </w:rPr>
      </w:pPr>
    </w:p>
    <w:sectPr w:rsidR="00EB3417" w:rsidRPr="00D23787" w:rsidSect="005D3C8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6F10" w14:textId="77777777" w:rsidR="004641BD" w:rsidRDefault="004641BD" w:rsidP="00D23787">
      <w:pPr>
        <w:spacing w:after="0" w:line="240" w:lineRule="auto"/>
      </w:pPr>
      <w:r>
        <w:separator/>
      </w:r>
    </w:p>
  </w:endnote>
  <w:endnote w:type="continuationSeparator" w:id="0">
    <w:p w14:paraId="4901E343" w14:textId="77777777" w:rsidR="004641BD" w:rsidRDefault="004641BD" w:rsidP="00D2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F1108" w14:textId="77777777" w:rsidR="004641BD" w:rsidRDefault="004641BD" w:rsidP="00D23787">
      <w:pPr>
        <w:spacing w:after="0" w:line="240" w:lineRule="auto"/>
      </w:pPr>
      <w:r>
        <w:separator/>
      </w:r>
    </w:p>
  </w:footnote>
  <w:footnote w:type="continuationSeparator" w:id="0">
    <w:p w14:paraId="45B2696C" w14:textId="77777777" w:rsidR="004641BD" w:rsidRDefault="004641BD" w:rsidP="00D2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6162" w14:textId="51315387" w:rsidR="00D23787" w:rsidRPr="00D23787" w:rsidRDefault="004641BD" w:rsidP="00D23787">
    <w:pPr>
      <w:rPr>
        <w:rFonts w:ascii="Arial" w:hAnsi="Arial" w:cs="Arial"/>
      </w:rPr>
    </w:pPr>
    <w:r>
      <w:rPr>
        <w:noProof/>
        <w:color w:val="7030A0"/>
      </w:rPr>
      <w:pict w14:anchorId="328C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7.75pt;margin-top:-11.4pt;width:178.75pt;height:54.3pt;z-index:251659264;mso-position-horizontal-relative:text;mso-position-vertical-relative:text;mso-width-relative:page;mso-height-relative:page">
          <v:imagedata r:id="rId1" o:title="VMIAC_txtfull"/>
          <w10:wrap type="square"/>
        </v:shape>
      </w:pict>
    </w:r>
    <w:r w:rsidR="00D23787" w:rsidRPr="00D23787">
      <w:rPr>
        <w:rFonts w:ascii="Arial" w:hAnsi="Arial" w:cs="Arial"/>
        <w:b/>
        <w:bCs/>
        <w:color w:val="7030A0"/>
      </w:rPr>
      <w:t>NOTE:</w:t>
    </w:r>
    <w:r w:rsidR="00D23787" w:rsidRPr="00D23787">
      <w:rPr>
        <w:rFonts w:ascii="Arial" w:hAnsi="Arial" w:cs="Arial"/>
      </w:rPr>
      <w:t xml:space="preserve"> The following is a summary of the information from the consultation document, a section that summarises what consumers have said about that subject and then a space for you to write down what you think. You could use this space to draft your answer to the question and then cut and paste this into the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669"/>
    <w:multiLevelType w:val="hybridMultilevel"/>
    <w:tmpl w:val="8D6E4E5E"/>
    <w:lvl w:ilvl="0" w:tplc="FDDA5E06">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0A78FE"/>
    <w:multiLevelType w:val="hybridMultilevel"/>
    <w:tmpl w:val="900A711C"/>
    <w:lvl w:ilvl="0" w:tplc="98A686FA">
      <w:start w:val="1"/>
      <w:numFmt w:val="bullet"/>
      <w:lvlText w:val=""/>
      <w:lvlJc w:val="left"/>
      <w:pPr>
        <w:ind w:left="766" w:hanging="360"/>
      </w:pPr>
      <w:rPr>
        <w:rFonts w:ascii="Symbol" w:hAnsi="Symbol" w:hint="default"/>
        <w:color w:val="7030A0"/>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C"/>
    <w:rsid w:val="00042DD6"/>
    <w:rsid w:val="000645F2"/>
    <w:rsid w:val="004641BD"/>
    <w:rsid w:val="005D3C8C"/>
    <w:rsid w:val="00D23787"/>
    <w:rsid w:val="00F97147"/>
    <w:rsid w:val="00FB5B6C"/>
    <w:rsid w:val="00FC0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6EF666"/>
  <w15:chartTrackingRefBased/>
  <w15:docId w15:val="{8B5AF824-1591-4841-A170-7E451A78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D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8C"/>
    <w:pPr>
      <w:ind w:left="720"/>
      <w:contextualSpacing/>
    </w:pPr>
  </w:style>
  <w:style w:type="table" w:styleId="TableGrid">
    <w:name w:val="Table Grid"/>
    <w:basedOn w:val="TableNormal"/>
    <w:uiPriority w:val="39"/>
    <w:rsid w:val="005D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87"/>
  </w:style>
  <w:style w:type="paragraph" w:styleId="Footer">
    <w:name w:val="footer"/>
    <w:basedOn w:val="Normal"/>
    <w:link w:val="FooterChar"/>
    <w:uiPriority w:val="99"/>
    <w:unhideWhenUsed/>
    <w:rsid w:val="00D2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3</cp:revision>
  <dcterms:created xsi:type="dcterms:W3CDTF">2021-06-22T00:31:00Z</dcterms:created>
  <dcterms:modified xsi:type="dcterms:W3CDTF">2021-06-22T04:09:00Z</dcterms:modified>
</cp:coreProperties>
</file>