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000" w:type="pct"/>
        <w:tblLook w:val="04A0" w:firstRow="1" w:lastRow="0" w:firstColumn="1" w:lastColumn="0" w:noHBand="0" w:noVBand="1"/>
      </w:tblPr>
      <w:tblGrid>
        <w:gridCol w:w="2549"/>
        <w:gridCol w:w="4536"/>
        <w:gridCol w:w="8303"/>
      </w:tblGrid>
      <w:tr w:rsidR="00324E42" w:rsidRPr="00B903F5" w14:paraId="5F7F82A3" w14:textId="77777777" w:rsidTr="00B903F5">
        <w:tc>
          <w:tcPr>
            <w:tcW w:w="5000" w:type="pct"/>
            <w:gridSpan w:val="3"/>
            <w:shd w:val="clear" w:color="auto" w:fill="7030A0"/>
          </w:tcPr>
          <w:p w14:paraId="2DD50076" w14:textId="77777777" w:rsidR="00324E42" w:rsidRPr="00B903F5" w:rsidRDefault="00324E42" w:rsidP="005F5732">
            <w:pPr>
              <w:rPr>
                <w:rFonts w:ascii="Arial" w:eastAsia="Calibri" w:hAnsi="Arial" w:cs="Arial"/>
                <w:color w:val="7030A0"/>
                <w:sz w:val="24"/>
                <w:szCs w:val="24"/>
              </w:rPr>
            </w:pPr>
            <w:r w:rsidRPr="00B903F5">
              <w:rPr>
                <w:rFonts w:ascii="Arial" w:eastAsia="Times New Roman" w:hAnsi="Arial" w:cs="Arial"/>
                <w:b/>
                <w:bCs/>
                <w:color w:val="FFFFFF" w:themeColor="background1"/>
                <w:sz w:val="24"/>
                <w:szCs w:val="24"/>
                <w:lang w:eastAsia="en-AU"/>
              </w:rPr>
              <w:t>SUPPORTED DECISION-MAKING  (section 3.2)</w:t>
            </w:r>
          </w:p>
        </w:tc>
      </w:tr>
      <w:tr w:rsidR="00324E42" w:rsidRPr="00B903F5" w14:paraId="24ECC7AE" w14:textId="77777777" w:rsidTr="005F5732">
        <w:tc>
          <w:tcPr>
            <w:tcW w:w="5000" w:type="pct"/>
            <w:gridSpan w:val="3"/>
            <w:shd w:val="clear" w:color="auto" w:fill="auto"/>
          </w:tcPr>
          <w:p w14:paraId="39C383E7" w14:textId="77777777" w:rsidR="00324E42" w:rsidRPr="00B903F5" w:rsidRDefault="00324E42" w:rsidP="005F5732">
            <w:pPr>
              <w:rPr>
                <w:rFonts w:ascii="Arial" w:eastAsia="Calibri" w:hAnsi="Arial" w:cs="Arial"/>
                <w:sz w:val="20"/>
                <w:szCs w:val="20"/>
              </w:rPr>
            </w:pPr>
            <w:r w:rsidRPr="00B903F5">
              <w:rPr>
                <w:rFonts w:ascii="Arial" w:eastAsia="Calibri" w:hAnsi="Arial" w:cs="Arial"/>
                <w:sz w:val="20"/>
                <w:szCs w:val="20"/>
              </w:rPr>
              <w:t xml:space="preserve">Supported decision making is a human rights concept that promotes freedom of choice for people using public mental health services.  Supported </w:t>
            </w:r>
            <w:proofErr w:type="gramStart"/>
            <w:r w:rsidRPr="00B903F5">
              <w:rPr>
                <w:rFonts w:ascii="Arial" w:eastAsia="Calibri" w:hAnsi="Arial" w:cs="Arial"/>
                <w:sz w:val="20"/>
                <w:szCs w:val="20"/>
              </w:rPr>
              <w:t>decision making</w:t>
            </w:r>
            <w:proofErr w:type="gramEnd"/>
            <w:r w:rsidRPr="00B903F5">
              <w:rPr>
                <w:rFonts w:ascii="Arial" w:eastAsia="Calibri" w:hAnsi="Arial" w:cs="Arial"/>
                <w:sz w:val="20"/>
                <w:szCs w:val="20"/>
              </w:rPr>
              <w:t xml:space="preserve"> means that people are provided with the support they need in order to be able to make their own decisions. In the context of mental health services, this usually means making medical treatment decisions, but it may include other types of decisions too.  This is important to us because under the current act, a psychiatrist in a service can make decisions for you if you are under a compulsory treatment order.</w:t>
            </w:r>
          </w:p>
          <w:p w14:paraId="1CA802D9" w14:textId="77777777" w:rsidR="00324E42" w:rsidRPr="00B903F5" w:rsidRDefault="00324E42" w:rsidP="005F5732">
            <w:pPr>
              <w:rPr>
                <w:rFonts w:ascii="Arial" w:eastAsia="Calibri" w:hAnsi="Arial" w:cs="Arial"/>
                <w:sz w:val="20"/>
                <w:szCs w:val="20"/>
              </w:rPr>
            </w:pPr>
          </w:p>
          <w:p w14:paraId="7481EEB5" w14:textId="77777777" w:rsidR="00324E42" w:rsidRPr="00B903F5" w:rsidRDefault="00324E42" w:rsidP="005F5732">
            <w:pPr>
              <w:rPr>
                <w:rFonts w:ascii="Arial" w:eastAsia="Calibri" w:hAnsi="Arial" w:cs="Arial"/>
                <w:sz w:val="20"/>
                <w:szCs w:val="20"/>
              </w:rPr>
            </w:pPr>
            <w:r w:rsidRPr="00B903F5">
              <w:rPr>
                <w:rFonts w:ascii="Arial" w:eastAsia="Calibri" w:hAnsi="Arial" w:cs="Arial"/>
                <w:sz w:val="20"/>
                <w:szCs w:val="20"/>
              </w:rPr>
              <w:t xml:space="preserve">If you would like to learn more about supported decision making you can read </w:t>
            </w:r>
            <w:hyperlink r:id="rId7" w:history="1">
              <w:r w:rsidRPr="00B903F5">
                <w:rPr>
                  <w:rStyle w:val="Hyperlink"/>
                  <w:rFonts w:ascii="Arial" w:eastAsia="Calibri" w:hAnsi="Arial" w:cs="Arial"/>
                  <w:sz w:val="20"/>
                  <w:szCs w:val="20"/>
                </w:rPr>
                <w:t>this information</w:t>
              </w:r>
            </w:hyperlink>
            <w:r w:rsidRPr="00B903F5">
              <w:rPr>
                <w:rFonts w:ascii="Arial" w:eastAsia="Calibri" w:hAnsi="Arial" w:cs="Arial"/>
                <w:sz w:val="20"/>
                <w:szCs w:val="20"/>
              </w:rPr>
              <w:t xml:space="preserve"> on the VMIAC website.</w:t>
            </w:r>
          </w:p>
          <w:p w14:paraId="37AF9894" w14:textId="77777777" w:rsidR="00324E42" w:rsidRPr="00B903F5" w:rsidRDefault="00324E42" w:rsidP="005F5732">
            <w:pPr>
              <w:rPr>
                <w:rFonts w:ascii="Arial" w:eastAsia="Calibri" w:hAnsi="Arial" w:cs="Arial"/>
                <w:sz w:val="20"/>
                <w:szCs w:val="20"/>
              </w:rPr>
            </w:pPr>
          </w:p>
          <w:p w14:paraId="667D454C" w14:textId="77777777" w:rsidR="00324E42" w:rsidRPr="00B903F5" w:rsidRDefault="00324E42" w:rsidP="005F5732">
            <w:pPr>
              <w:rPr>
                <w:rFonts w:ascii="Arial" w:eastAsia="Calibri" w:hAnsi="Arial" w:cs="Arial"/>
                <w:sz w:val="20"/>
                <w:szCs w:val="20"/>
              </w:rPr>
            </w:pPr>
            <w:r w:rsidRPr="00B903F5">
              <w:rPr>
                <w:rFonts w:ascii="Arial" w:eastAsia="Calibri" w:hAnsi="Arial" w:cs="Arial"/>
                <w:sz w:val="20"/>
                <w:szCs w:val="20"/>
              </w:rPr>
              <w:t xml:space="preserve">The current act has provisions for some supports such </w:t>
            </w:r>
            <w:r w:rsidRPr="00B903F5">
              <w:rPr>
                <w:rFonts w:ascii="Arial" w:eastAsia="Calibri" w:hAnsi="Arial" w:cs="Arial"/>
                <w:color w:val="FF0000"/>
                <w:sz w:val="20"/>
                <w:szCs w:val="20"/>
              </w:rPr>
              <w:t xml:space="preserve">as </w:t>
            </w:r>
            <w:r w:rsidRPr="00B903F5">
              <w:rPr>
                <w:rFonts w:ascii="Arial" w:eastAsia="Calibri" w:hAnsi="Arial" w:cs="Arial"/>
                <w:b/>
                <w:bCs/>
                <w:color w:val="FF0000"/>
                <w:sz w:val="20"/>
                <w:szCs w:val="20"/>
              </w:rPr>
              <w:t>statements of rights, advance statements, nominated persons</w:t>
            </w:r>
            <w:r w:rsidRPr="00B903F5">
              <w:rPr>
                <w:rFonts w:ascii="Arial" w:eastAsia="Calibri" w:hAnsi="Arial" w:cs="Arial"/>
                <w:sz w:val="20"/>
                <w:szCs w:val="20"/>
              </w:rPr>
              <w:t xml:space="preserve"> and </w:t>
            </w:r>
            <w:r w:rsidRPr="00B903F5">
              <w:rPr>
                <w:rFonts w:ascii="Arial" w:eastAsia="Calibri" w:hAnsi="Arial" w:cs="Arial"/>
                <w:b/>
                <w:bCs/>
                <w:color w:val="FF0000"/>
                <w:sz w:val="20"/>
                <w:szCs w:val="20"/>
              </w:rPr>
              <w:t xml:space="preserve">second psychiatric opinion </w:t>
            </w:r>
            <w:r w:rsidRPr="00B903F5">
              <w:rPr>
                <w:rFonts w:ascii="Arial" w:eastAsia="Calibri" w:hAnsi="Arial" w:cs="Arial"/>
                <w:sz w:val="20"/>
                <w:szCs w:val="20"/>
              </w:rPr>
              <w:t>and the commission found that uptake of these supports was not as strong as it could be.</w:t>
            </w:r>
          </w:p>
          <w:p w14:paraId="6ED86526" w14:textId="77777777" w:rsidR="00324E42" w:rsidRPr="00B903F5" w:rsidRDefault="00324E42" w:rsidP="005F5732">
            <w:pPr>
              <w:rPr>
                <w:rFonts w:ascii="Arial" w:eastAsia="Calibri" w:hAnsi="Arial" w:cs="Arial"/>
                <w:sz w:val="20"/>
                <w:szCs w:val="20"/>
              </w:rPr>
            </w:pPr>
          </w:p>
          <w:p w14:paraId="7EAD5C43" w14:textId="77777777" w:rsidR="00324E42" w:rsidRPr="00B903F5" w:rsidRDefault="00324E42" w:rsidP="005F5732">
            <w:pPr>
              <w:rPr>
                <w:rFonts w:ascii="Arial" w:eastAsia="Calibri" w:hAnsi="Arial" w:cs="Arial"/>
                <w:b/>
                <w:bCs/>
                <w:color w:val="7030A0"/>
                <w:sz w:val="20"/>
                <w:szCs w:val="20"/>
              </w:rPr>
            </w:pPr>
            <w:r w:rsidRPr="00B903F5">
              <w:rPr>
                <w:rFonts w:ascii="Arial" w:eastAsia="Calibri" w:hAnsi="Arial" w:cs="Arial"/>
                <w:b/>
                <w:bCs/>
                <w:color w:val="7030A0"/>
                <w:sz w:val="20"/>
                <w:szCs w:val="20"/>
              </w:rPr>
              <w:t>These are the proposed changes:</w:t>
            </w:r>
          </w:p>
          <w:p w14:paraId="5BB9611C" w14:textId="77777777" w:rsidR="00324E42" w:rsidRPr="00B903F5" w:rsidRDefault="00324E42" w:rsidP="005F5732">
            <w:pPr>
              <w:rPr>
                <w:rFonts w:ascii="Arial" w:eastAsia="Calibri" w:hAnsi="Arial" w:cs="Arial"/>
                <w:sz w:val="20"/>
                <w:szCs w:val="20"/>
              </w:rPr>
            </w:pPr>
            <w:r w:rsidRPr="00B903F5">
              <w:rPr>
                <w:rFonts w:ascii="Arial" w:eastAsia="Calibri" w:hAnsi="Arial" w:cs="Arial"/>
                <w:sz w:val="20"/>
                <w:szCs w:val="20"/>
              </w:rPr>
              <w:t xml:space="preserve">As well as compulsory patients being given a </w:t>
            </w:r>
            <w:r w:rsidRPr="00B903F5">
              <w:rPr>
                <w:rFonts w:ascii="Arial" w:eastAsia="Calibri" w:hAnsi="Arial" w:cs="Arial"/>
                <w:b/>
                <w:bCs/>
                <w:color w:val="FF0000"/>
                <w:sz w:val="20"/>
                <w:szCs w:val="20"/>
              </w:rPr>
              <w:t>statement of rights</w:t>
            </w:r>
            <w:r w:rsidRPr="00B903F5">
              <w:rPr>
                <w:rFonts w:ascii="Arial" w:eastAsia="Calibri" w:hAnsi="Arial" w:cs="Arial"/>
                <w:sz w:val="20"/>
                <w:szCs w:val="20"/>
              </w:rPr>
              <w:t>, all patients will now receive them. There will also be a requirement that the person providing the statements must ensure the consumer understand their rights such as having ongoing conversations and making supports available.</w:t>
            </w:r>
          </w:p>
          <w:p w14:paraId="71CF693A" w14:textId="77777777" w:rsidR="00324E42" w:rsidRPr="00B903F5" w:rsidRDefault="00324E42" w:rsidP="005F5732">
            <w:pPr>
              <w:rPr>
                <w:rFonts w:ascii="Arial" w:eastAsia="Calibri" w:hAnsi="Arial" w:cs="Arial"/>
                <w:sz w:val="20"/>
                <w:szCs w:val="20"/>
              </w:rPr>
            </w:pPr>
          </w:p>
          <w:p w14:paraId="3D04D227" w14:textId="77777777" w:rsidR="00324E42" w:rsidRPr="00B903F5" w:rsidRDefault="00324E42" w:rsidP="005F5732">
            <w:pPr>
              <w:rPr>
                <w:rFonts w:ascii="Arial" w:eastAsia="Calibri" w:hAnsi="Arial" w:cs="Arial"/>
                <w:sz w:val="20"/>
                <w:szCs w:val="20"/>
              </w:rPr>
            </w:pPr>
            <w:r w:rsidRPr="00B903F5">
              <w:rPr>
                <w:rFonts w:ascii="Arial" w:eastAsia="Calibri" w:hAnsi="Arial" w:cs="Arial"/>
                <w:b/>
                <w:bCs/>
                <w:color w:val="FF0000"/>
                <w:sz w:val="20"/>
                <w:szCs w:val="20"/>
              </w:rPr>
              <w:t>Advance statements</w:t>
            </w:r>
            <w:r w:rsidRPr="00B903F5">
              <w:rPr>
                <w:rFonts w:ascii="Arial" w:eastAsia="Calibri" w:hAnsi="Arial" w:cs="Arial"/>
                <w:color w:val="FF0000"/>
                <w:sz w:val="20"/>
                <w:szCs w:val="20"/>
              </w:rPr>
              <w:t xml:space="preserve"> </w:t>
            </w:r>
            <w:r w:rsidRPr="00B903F5">
              <w:rPr>
                <w:rFonts w:ascii="Arial" w:eastAsia="Calibri" w:hAnsi="Arial" w:cs="Arial"/>
                <w:sz w:val="20"/>
                <w:szCs w:val="20"/>
              </w:rPr>
              <w:t xml:space="preserve">will still be able to be overridden, however people </w:t>
            </w:r>
            <w:r w:rsidRPr="00B903F5">
              <w:rPr>
                <w:rFonts w:ascii="Arial" w:eastAsia="Calibri" w:hAnsi="Arial" w:cs="Arial"/>
                <w:b/>
                <w:bCs/>
                <w:color w:val="FF0000"/>
                <w:sz w:val="20"/>
                <w:szCs w:val="20"/>
              </w:rPr>
              <w:t>must</w:t>
            </w:r>
            <w:r w:rsidRPr="00B903F5">
              <w:rPr>
                <w:rFonts w:ascii="Arial" w:eastAsia="Calibri" w:hAnsi="Arial" w:cs="Arial"/>
                <w:sz w:val="20"/>
                <w:szCs w:val="20"/>
              </w:rPr>
              <w:t xml:space="preserve"> be provided with a written reason.  You will also be able to include more in your advance statement and more people will be able to witness it.  They will be stored by Safer Care Victoria.</w:t>
            </w:r>
          </w:p>
          <w:p w14:paraId="7CFEF436" w14:textId="77777777" w:rsidR="00324E42" w:rsidRPr="00B903F5" w:rsidRDefault="00324E42" w:rsidP="005F5732">
            <w:pPr>
              <w:rPr>
                <w:rFonts w:ascii="Arial" w:eastAsia="Calibri" w:hAnsi="Arial" w:cs="Arial"/>
                <w:sz w:val="20"/>
                <w:szCs w:val="20"/>
              </w:rPr>
            </w:pPr>
          </w:p>
          <w:p w14:paraId="5BEBB7D9" w14:textId="77777777" w:rsidR="00324E42" w:rsidRPr="00B903F5" w:rsidRDefault="00324E42" w:rsidP="005F5732">
            <w:pPr>
              <w:rPr>
                <w:rFonts w:ascii="Arial" w:eastAsia="Calibri" w:hAnsi="Arial" w:cs="Arial"/>
                <w:sz w:val="20"/>
                <w:szCs w:val="20"/>
              </w:rPr>
            </w:pPr>
            <w:r w:rsidRPr="00B903F5">
              <w:rPr>
                <w:rFonts w:ascii="Arial" w:eastAsia="Calibri" w:hAnsi="Arial" w:cs="Arial"/>
                <w:b/>
                <w:bCs/>
                <w:color w:val="FF0000"/>
                <w:sz w:val="20"/>
                <w:szCs w:val="20"/>
              </w:rPr>
              <w:t>Nominated persons</w:t>
            </w:r>
            <w:r w:rsidRPr="00B903F5">
              <w:rPr>
                <w:rFonts w:ascii="Arial" w:eastAsia="Calibri" w:hAnsi="Arial" w:cs="Arial"/>
                <w:color w:val="FF0000"/>
                <w:sz w:val="20"/>
                <w:szCs w:val="20"/>
              </w:rPr>
              <w:t xml:space="preserve"> </w:t>
            </w:r>
            <w:r w:rsidRPr="00B903F5">
              <w:rPr>
                <w:rFonts w:ascii="Arial" w:eastAsia="Calibri" w:hAnsi="Arial" w:cs="Arial"/>
                <w:sz w:val="20"/>
                <w:szCs w:val="20"/>
              </w:rPr>
              <w:t xml:space="preserve">will have to agree to </w:t>
            </w:r>
            <w:r w:rsidRPr="00B903F5">
              <w:rPr>
                <w:rFonts w:ascii="Arial" w:eastAsia="Calibri" w:hAnsi="Arial" w:cs="Arial"/>
                <w:b/>
                <w:bCs/>
                <w:color w:val="FF0000"/>
                <w:sz w:val="20"/>
                <w:szCs w:val="20"/>
              </w:rPr>
              <w:t>support the person to make their own decisions</w:t>
            </w:r>
            <w:r w:rsidRPr="00B903F5">
              <w:rPr>
                <w:rFonts w:ascii="Arial" w:eastAsia="Calibri" w:hAnsi="Arial" w:cs="Arial"/>
                <w:color w:val="FF0000"/>
                <w:sz w:val="20"/>
                <w:szCs w:val="20"/>
              </w:rPr>
              <w:t xml:space="preserve"> </w:t>
            </w:r>
            <w:r w:rsidRPr="00B903F5">
              <w:rPr>
                <w:rFonts w:ascii="Arial" w:eastAsia="Calibri" w:hAnsi="Arial" w:cs="Arial"/>
                <w:sz w:val="20"/>
                <w:szCs w:val="20"/>
              </w:rPr>
              <w:t>and to help represent the views and preferences of the person. More people will be able to witness the appointment of a nominated person.</w:t>
            </w:r>
          </w:p>
          <w:p w14:paraId="7CF8DFF6" w14:textId="77777777" w:rsidR="00324E42" w:rsidRPr="00B903F5" w:rsidRDefault="00324E42" w:rsidP="005F5732">
            <w:pPr>
              <w:rPr>
                <w:rFonts w:ascii="Arial" w:eastAsia="Calibri" w:hAnsi="Arial" w:cs="Arial"/>
                <w:sz w:val="20"/>
                <w:szCs w:val="20"/>
              </w:rPr>
            </w:pPr>
          </w:p>
          <w:p w14:paraId="72B4E24A" w14:textId="77777777" w:rsidR="00324E42" w:rsidRPr="00B903F5" w:rsidRDefault="00324E42" w:rsidP="005F5732">
            <w:pPr>
              <w:rPr>
                <w:rFonts w:ascii="Arial" w:eastAsia="Calibri" w:hAnsi="Arial" w:cs="Arial"/>
                <w:sz w:val="20"/>
                <w:szCs w:val="20"/>
              </w:rPr>
            </w:pPr>
            <w:r w:rsidRPr="00B903F5">
              <w:rPr>
                <w:rFonts w:ascii="Arial" w:eastAsia="Calibri" w:hAnsi="Arial" w:cs="Arial"/>
                <w:sz w:val="20"/>
                <w:szCs w:val="20"/>
              </w:rPr>
              <w:t xml:space="preserve">There will be more flexibility in how </w:t>
            </w:r>
            <w:r w:rsidRPr="00B903F5">
              <w:rPr>
                <w:rFonts w:ascii="Arial" w:eastAsia="Calibri" w:hAnsi="Arial" w:cs="Arial"/>
                <w:b/>
                <w:bCs/>
                <w:color w:val="FF0000"/>
                <w:sz w:val="20"/>
                <w:szCs w:val="20"/>
              </w:rPr>
              <w:t>second opinions can be provided</w:t>
            </w:r>
            <w:r w:rsidRPr="00B903F5">
              <w:rPr>
                <w:rFonts w:ascii="Arial" w:eastAsia="Calibri" w:hAnsi="Arial" w:cs="Arial"/>
                <w:color w:val="FF0000"/>
                <w:sz w:val="20"/>
                <w:szCs w:val="20"/>
              </w:rPr>
              <w:t xml:space="preserve">, </w:t>
            </w:r>
            <w:r w:rsidRPr="00B903F5">
              <w:rPr>
                <w:rFonts w:ascii="Arial" w:eastAsia="Calibri" w:hAnsi="Arial" w:cs="Arial"/>
                <w:sz w:val="20"/>
                <w:szCs w:val="20"/>
              </w:rPr>
              <w:t xml:space="preserve">and an authorised psychiatrist </w:t>
            </w:r>
            <w:r w:rsidRPr="00B903F5">
              <w:rPr>
                <w:rFonts w:ascii="Arial" w:eastAsia="Calibri" w:hAnsi="Arial" w:cs="Arial"/>
                <w:b/>
                <w:bCs/>
                <w:color w:val="FF0000"/>
                <w:sz w:val="20"/>
                <w:szCs w:val="20"/>
              </w:rPr>
              <w:t>will be required to document</w:t>
            </w:r>
            <w:r w:rsidRPr="00B903F5">
              <w:rPr>
                <w:rFonts w:ascii="Arial" w:eastAsia="Calibri" w:hAnsi="Arial" w:cs="Arial"/>
                <w:color w:val="FF0000"/>
                <w:sz w:val="20"/>
                <w:szCs w:val="20"/>
              </w:rPr>
              <w:t xml:space="preserve"> </w:t>
            </w:r>
            <w:r w:rsidRPr="00B903F5">
              <w:rPr>
                <w:rFonts w:ascii="Arial" w:eastAsia="Calibri" w:hAnsi="Arial" w:cs="Arial"/>
                <w:sz w:val="20"/>
                <w:szCs w:val="20"/>
              </w:rPr>
              <w:t>their reasons for not accepting the opinion of the second psychiatrist and provide a copy of these reasons to the consumer and any other person requested by the consumer.</w:t>
            </w:r>
          </w:p>
          <w:p w14:paraId="205A2FE3" w14:textId="77777777" w:rsidR="00324E42" w:rsidRPr="00B903F5" w:rsidRDefault="00324E42" w:rsidP="005F5732">
            <w:pPr>
              <w:rPr>
                <w:rFonts w:ascii="Arial" w:eastAsia="Calibri" w:hAnsi="Arial" w:cs="Arial"/>
                <w:sz w:val="20"/>
                <w:szCs w:val="20"/>
              </w:rPr>
            </w:pPr>
          </w:p>
          <w:p w14:paraId="3EEBECCF" w14:textId="77777777" w:rsidR="00324E42" w:rsidRPr="00B903F5" w:rsidRDefault="00324E42" w:rsidP="005F5732">
            <w:pPr>
              <w:rPr>
                <w:rFonts w:ascii="Arial" w:eastAsia="Calibri" w:hAnsi="Arial" w:cs="Arial"/>
                <w:sz w:val="20"/>
                <w:szCs w:val="20"/>
              </w:rPr>
            </w:pPr>
            <w:r w:rsidRPr="00B903F5">
              <w:rPr>
                <w:rFonts w:ascii="Arial" w:eastAsia="Calibri" w:hAnsi="Arial" w:cs="Arial"/>
                <w:b/>
                <w:bCs/>
                <w:color w:val="FF0000"/>
                <w:sz w:val="20"/>
                <w:szCs w:val="20"/>
              </w:rPr>
              <w:t>Service providers</w:t>
            </w:r>
            <w:r w:rsidRPr="00B903F5">
              <w:rPr>
                <w:rFonts w:ascii="Arial" w:eastAsia="Calibri" w:hAnsi="Arial" w:cs="Arial"/>
                <w:color w:val="FF0000"/>
                <w:sz w:val="20"/>
                <w:szCs w:val="20"/>
              </w:rPr>
              <w:t xml:space="preserve"> </w:t>
            </w:r>
            <w:r w:rsidRPr="00B903F5">
              <w:rPr>
                <w:rFonts w:ascii="Arial" w:eastAsia="Calibri" w:hAnsi="Arial" w:cs="Arial"/>
                <w:sz w:val="20"/>
                <w:szCs w:val="20"/>
              </w:rPr>
              <w:t xml:space="preserve">will be required to </w:t>
            </w:r>
            <w:r w:rsidRPr="00B903F5">
              <w:rPr>
                <w:rFonts w:ascii="Arial" w:eastAsia="Calibri" w:hAnsi="Arial" w:cs="Arial"/>
                <w:b/>
                <w:bCs/>
                <w:color w:val="FF0000"/>
                <w:sz w:val="20"/>
                <w:szCs w:val="20"/>
              </w:rPr>
              <w:t>document</w:t>
            </w:r>
            <w:r w:rsidRPr="00B903F5">
              <w:rPr>
                <w:rFonts w:ascii="Arial" w:eastAsia="Calibri" w:hAnsi="Arial" w:cs="Arial"/>
                <w:b/>
                <w:bCs/>
                <w:sz w:val="20"/>
                <w:szCs w:val="20"/>
              </w:rPr>
              <w:t xml:space="preserve"> </w:t>
            </w:r>
            <w:r w:rsidRPr="00B903F5">
              <w:rPr>
                <w:rFonts w:ascii="Arial" w:eastAsia="Calibri" w:hAnsi="Arial" w:cs="Arial"/>
                <w:sz w:val="20"/>
                <w:szCs w:val="20"/>
              </w:rPr>
              <w:t xml:space="preserve">discussions about informed consent, the efforts taken to support a consumer’s decisions and decisions that go </w:t>
            </w:r>
            <w:proofErr w:type="gramStart"/>
            <w:r w:rsidRPr="00B903F5">
              <w:rPr>
                <w:rFonts w:ascii="Arial" w:eastAsia="Calibri" w:hAnsi="Arial" w:cs="Arial"/>
                <w:sz w:val="20"/>
                <w:szCs w:val="20"/>
              </w:rPr>
              <w:t xml:space="preserve">against a </w:t>
            </w:r>
            <w:proofErr w:type="spellStart"/>
            <w:r w:rsidRPr="00B903F5">
              <w:rPr>
                <w:rFonts w:ascii="Arial" w:eastAsia="Calibri" w:hAnsi="Arial" w:cs="Arial"/>
                <w:sz w:val="20"/>
                <w:szCs w:val="20"/>
              </w:rPr>
              <w:t>persons</w:t>
            </w:r>
            <w:proofErr w:type="spellEnd"/>
            <w:r w:rsidRPr="00B903F5">
              <w:rPr>
                <w:rFonts w:ascii="Arial" w:eastAsia="Calibri" w:hAnsi="Arial" w:cs="Arial"/>
                <w:sz w:val="20"/>
                <w:szCs w:val="20"/>
              </w:rPr>
              <w:t xml:space="preserve"> views</w:t>
            </w:r>
            <w:proofErr w:type="gramEnd"/>
            <w:r w:rsidRPr="00B903F5">
              <w:rPr>
                <w:rFonts w:ascii="Arial" w:eastAsia="Calibri" w:hAnsi="Arial" w:cs="Arial"/>
                <w:sz w:val="20"/>
                <w:szCs w:val="20"/>
              </w:rPr>
              <w:t xml:space="preserve"> and preferences including how they considered the consumers views and preferences, alternatives reasonably available and the consumers reasons for those views and preferences.</w:t>
            </w:r>
          </w:p>
          <w:p w14:paraId="7BE896C4" w14:textId="77777777" w:rsidR="00324E42" w:rsidRPr="00B903F5" w:rsidRDefault="00324E42" w:rsidP="005F5732">
            <w:pPr>
              <w:rPr>
                <w:rFonts w:ascii="Arial" w:eastAsia="Calibri" w:hAnsi="Arial" w:cs="Arial"/>
                <w:sz w:val="20"/>
                <w:szCs w:val="20"/>
              </w:rPr>
            </w:pPr>
          </w:p>
        </w:tc>
      </w:tr>
      <w:tr w:rsidR="00324E42" w:rsidRPr="00B903F5" w14:paraId="34E23FCD" w14:textId="77777777" w:rsidTr="00324E42">
        <w:tc>
          <w:tcPr>
            <w:tcW w:w="828" w:type="pct"/>
            <w:shd w:val="clear" w:color="auto" w:fill="FF4343"/>
          </w:tcPr>
          <w:p w14:paraId="2AB51609" w14:textId="77777777" w:rsidR="00324E42" w:rsidRPr="00B903F5" w:rsidRDefault="00324E42" w:rsidP="005F5732">
            <w:pPr>
              <w:rPr>
                <w:rFonts w:ascii="Arial" w:eastAsia="Calibri" w:hAnsi="Arial" w:cs="Arial"/>
                <w:b/>
                <w:color w:val="FFFFFF"/>
                <w:sz w:val="24"/>
                <w:szCs w:val="24"/>
              </w:rPr>
            </w:pPr>
            <w:r w:rsidRPr="00B903F5">
              <w:rPr>
                <w:rFonts w:ascii="Arial" w:eastAsia="Calibri" w:hAnsi="Arial" w:cs="Arial"/>
                <w:b/>
                <w:color w:val="FFFFFF"/>
                <w:sz w:val="24"/>
                <w:szCs w:val="24"/>
              </w:rPr>
              <w:t>Question</w:t>
            </w:r>
          </w:p>
        </w:tc>
        <w:tc>
          <w:tcPr>
            <w:tcW w:w="1474" w:type="pct"/>
            <w:shd w:val="clear" w:color="auto" w:fill="FF4343"/>
          </w:tcPr>
          <w:p w14:paraId="001B171D" w14:textId="77777777" w:rsidR="00324E42" w:rsidRPr="00B903F5" w:rsidRDefault="00324E42" w:rsidP="005F5732">
            <w:pPr>
              <w:rPr>
                <w:rFonts w:ascii="Arial" w:eastAsia="Calibri" w:hAnsi="Arial" w:cs="Arial"/>
                <w:b/>
                <w:color w:val="FFFFFF"/>
                <w:sz w:val="24"/>
                <w:szCs w:val="24"/>
              </w:rPr>
            </w:pPr>
            <w:r w:rsidRPr="00B903F5">
              <w:rPr>
                <w:rFonts w:ascii="Arial" w:eastAsia="Calibri" w:hAnsi="Arial" w:cs="Arial"/>
                <w:b/>
                <w:color w:val="FFFFFF"/>
                <w:sz w:val="24"/>
                <w:szCs w:val="24"/>
              </w:rPr>
              <w:t>What has been said by consumers</w:t>
            </w:r>
          </w:p>
        </w:tc>
        <w:tc>
          <w:tcPr>
            <w:tcW w:w="2698" w:type="pct"/>
            <w:shd w:val="clear" w:color="auto" w:fill="FF4343"/>
          </w:tcPr>
          <w:p w14:paraId="2A525DB9" w14:textId="77777777" w:rsidR="00324E42" w:rsidRPr="00B903F5" w:rsidRDefault="00324E42" w:rsidP="005F5732">
            <w:pPr>
              <w:rPr>
                <w:rFonts w:ascii="Arial" w:eastAsia="Calibri" w:hAnsi="Arial" w:cs="Arial"/>
                <w:b/>
                <w:color w:val="FFFFFF"/>
                <w:sz w:val="24"/>
                <w:szCs w:val="24"/>
              </w:rPr>
            </w:pPr>
            <w:r w:rsidRPr="00B903F5">
              <w:rPr>
                <w:rFonts w:ascii="Arial" w:eastAsia="Calibri" w:hAnsi="Arial" w:cs="Arial"/>
                <w:b/>
                <w:color w:val="FFFFFF"/>
                <w:sz w:val="24"/>
                <w:szCs w:val="24"/>
              </w:rPr>
              <w:t>Your ideas for answering the questions</w:t>
            </w:r>
          </w:p>
        </w:tc>
      </w:tr>
      <w:tr w:rsidR="00324E42" w:rsidRPr="00B903F5" w14:paraId="0DFE3BB6" w14:textId="77777777" w:rsidTr="00324E42">
        <w:tc>
          <w:tcPr>
            <w:tcW w:w="828" w:type="pct"/>
            <w:shd w:val="clear" w:color="auto" w:fill="auto"/>
          </w:tcPr>
          <w:p w14:paraId="66B6692C" w14:textId="403FB8DE" w:rsidR="00324E42" w:rsidRPr="00B903F5" w:rsidRDefault="00324E42" w:rsidP="00300189">
            <w:pPr>
              <w:rPr>
                <w:rFonts w:ascii="Arial" w:hAnsi="Arial" w:cs="Arial"/>
                <w:sz w:val="20"/>
                <w:szCs w:val="20"/>
                <w:shd w:val="clear" w:color="auto" w:fill="FFFFFF"/>
              </w:rPr>
            </w:pPr>
            <w:bookmarkStart w:id="0" w:name="_GoBack" w:colFirst="0" w:colLast="0"/>
            <w:r w:rsidRPr="00B903F5">
              <w:rPr>
                <w:rFonts w:ascii="Arial" w:hAnsi="Arial" w:cs="Arial"/>
                <w:color w:val="FF0000"/>
                <w:sz w:val="20"/>
                <w:szCs w:val="20"/>
                <w:shd w:val="clear" w:color="auto" w:fill="FFFFFF"/>
              </w:rPr>
              <w:t>Question 5</w:t>
            </w:r>
            <w:r w:rsidRPr="00B903F5">
              <w:rPr>
                <w:rFonts w:ascii="Arial" w:hAnsi="Arial" w:cs="Arial"/>
                <w:sz w:val="20"/>
                <w:szCs w:val="20"/>
                <w:shd w:val="clear" w:color="auto" w:fill="FFFFFF"/>
              </w:rPr>
              <w:t xml:space="preserve">: </w:t>
            </w:r>
            <w:r w:rsidR="00B903F5">
              <w:rPr>
                <w:rFonts w:ascii="Arial" w:hAnsi="Arial" w:cs="Arial"/>
                <w:sz w:val="20"/>
                <w:szCs w:val="20"/>
                <w:shd w:val="clear" w:color="auto" w:fill="FFFFFF"/>
              </w:rPr>
              <w:br/>
            </w:r>
            <w:r w:rsidRPr="00B903F5">
              <w:rPr>
                <w:rFonts w:ascii="Arial" w:hAnsi="Arial" w:cs="Arial"/>
                <w:sz w:val="20"/>
                <w:szCs w:val="20"/>
                <w:shd w:val="clear" w:color="auto" w:fill="FFFFFF"/>
              </w:rPr>
              <w:t xml:space="preserve">Do you think the proposals meet the Royal Commission’s recommendations about supported </w:t>
            </w:r>
            <w:proofErr w:type="gramStart"/>
            <w:r w:rsidRPr="00B903F5">
              <w:rPr>
                <w:rFonts w:ascii="Arial" w:hAnsi="Arial" w:cs="Arial"/>
                <w:sz w:val="20"/>
                <w:szCs w:val="20"/>
                <w:shd w:val="clear" w:color="auto" w:fill="FFFFFF"/>
              </w:rPr>
              <w:t>decision making</w:t>
            </w:r>
            <w:proofErr w:type="gramEnd"/>
            <w:r w:rsidRPr="00B903F5">
              <w:rPr>
                <w:rFonts w:ascii="Arial" w:hAnsi="Arial" w:cs="Arial"/>
                <w:sz w:val="20"/>
                <w:szCs w:val="20"/>
                <w:shd w:val="clear" w:color="auto" w:fill="FFFFFF"/>
              </w:rPr>
              <w:t>? (Section 3.2 in the paper)</w:t>
            </w:r>
          </w:p>
          <w:p w14:paraId="7EEDA4AE" w14:textId="77777777" w:rsidR="00324E42" w:rsidRPr="00B903F5" w:rsidRDefault="00324E42" w:rsidP="00300189">
            <w:pPr>
              <w:rPr>
                <w:rFonts w:ascii="Arial" w:eastAsia="Calibri" w:hAnsi="Arial" w:cs="Arial"/>
                <w:sz w:val="20"/>
                <w:szCs w:val="20"/>
              </w:rPr>
            </w:pPr>
          </w:p>
          <w:p w14:paraId="7DD3B665" w14:textId="77777777" w:rsidR="00324E42" w:rsidRPr="00B903F5" w:rsidRDefault="00324E42" w:rsidP="00300189">
            <w:pPr>
              <w:rPr>
                <w:rFonts w:ascii="Arial" w:eastAsia="Calibri" w:hAnsi="Arial" w:cs="Arial"/>
                <w:sz w:val="20"/>
                <w:szCs w:val="20"/>
              </w:rPr>
            </w:pPr>
          </w:p>
          <w:p w14:paraId="3E094564" w14:textId="77777777" w:rsidR="00324E42" w:rsidRPr="00B903F5" w:rsidRDefault="00324E42" w:rsidP="00300189">
            <w:pPr>
              <w:rPr>
                <w:rFonts w:ascii="Arial" w:eastAsia="Calibri" w:hAnsi="Arial" w:cs="Arial"/>
                <w:sz w:val="20"/>
                <w:szCs w:val="20"/>
              </w:rPr>
            </w:pPr>
          </w:p>
          <w:p w14:paraId="04B7DB2F" w14:textId="77777777" w:rsidR="00324E42" w:rsidRPr="00B903F5" w:rsidRDefault="00324E42" w:rsidP="00300189">
            <w:pPr>
              <w:rPr>
                <w:rFonts w:ascii="Arial" w:eastAsia="Calibri" w:hAnsi="Arial" w:cs="Arial"/>
                <w:sz w:val="20"/>
                <w:szCs w:val="20"/>
              </w:rPr>
            </w:pPr>
          </w:p>
          <w:p w14:paraId="1C6042FD" w14:textId="77777777" w:rsidR="00324E42" w:rsidRPr="00B903F5" w:rsidRDefault="00324E42" w:rsidP="00300189">
            <w:pPr>
              <w:rPr>
                <w:rFonts w:ascii="Arial" w:eastAsia="Calibri" w:hAnsi="Arial" w:cs="Arial"/>
                <w:sz w:val="20"/>
                <w:szCs w:val="20"/>
              </w:rPr>
            </w:pPr>
          </w:p>
          <w:p w14:paraId="33F69E21" w14:textId="77777777" w:rsidR="00324E42" w:rsidRPr="00B903F5" w:rsidRDefault="00324E42" w:rsidP="00300189">
            <w:pPr>
              <w:rPr>
                <w:rFonts w:ascii="Arial" w:eastAsia="Calibri" w:hAnsi="Arial" w:cs="Arial"/>
                <w:sz w:val="20"/>
                <w:szCs w:val="20"/>
              </w:rPr>
            </w:pPr>
          </w:p>
          <w:p w14:paraId="171D3700" w14:textId="77777777" w:rsidR="00324E42" w:rsidRPr="00B903F5" w:rsidRDefault="00324E42" w:rsidP="00300189">
            <w:pPr>
              <w:rPr>
                <w:rFonts w:ascii="Arial" w:eastAsia="Calibri" w:hAnsi="Arial" w:cs="Arial"/>
                <w:sz w:val="20"/>
                <w:szCs w:val="20"/>
              </w:rPr>
            </w:pPr>
          </w:p>
          <w:p w14:paraId="56D3BAC3" w14:textId="77777777" w:rsidR="00324E42" w:rsidRPr="00B903F5" w:rsidRDefault="00324E42" w:rsidP="00300189">
            <w:pPr>
              <w:rPr>
                <w:rFonts w:ascii="Arial" w:eastAsia="Calibri" w:hAnsi="Arial" w:cs="Arial"/>
                <w:sz w:val="20"/>
                <w:szCs w:val="20"/>
              </w:rPr>
            </w:pPr>
          </w:p>
          <w:p w14:paraId="13B0BAC9" w14:textId="77777777" w:rsidR="00324E42" w:rsidRPr="00B903F5" w:rsidRDefault="00324E42" w:rsidP="00300189">
            <w:pPr>
              <w:rPr>
                <w:rFonts w:ascii="Arial" w:eastAsia="Calibri" w:hAnsi="Arial" w:cs="Arial"/>
                <w:sz w:val="20"/>
                <w:szCs w:val="20"/>
              </w:rPr>
            </w:pPr>
          </w:p>
          <w:p w14:paraId="7DFA72BA" w14:textId="77777777" w:rsidR="00324E42" w:rsidRPr="00B903F5" w:rsidRDefault="00324E42" w:rsidP="00300189">
            <w:pPr>
              <w:rPr>
                <w:rFonts w:ascii="Arial" w:eastAsia="Calibri" w:hAnsi="Arial" w:cs="Arial"/>
                <w:sz w:val="20"/>
                <w:szCs w:val="20"/>
              </w:rPr>
            </w:pPr>
          </w:p>
          <w:p w14:paraId="0C10553D" w14:textId="77777777" w:rsidR="00324E42" w:rsidRPr="00B903F5" w:rsidRDefault="00324E42" w:rsidP="00300189">
            <w:pPr>
              <w:rPr>
                <w:rFonts w:ascii="Arial" w:eastAsia="Calibri" w:hAnsi="Arial" w:cs="Arial"/>
                <w:sz w:val="20"/>
                <w:szCs w:val="20"/>
              </w:rPr>
            </w:pPr>
          </w:p>
          <w:p w14:paraId="69A2CED0" w14:textId="77777777" w:rsidR="00324E42" w:rsidRPr="00B903F5" w:rsidRDefault="00324E42" w:rsidP="00300189">
            <w:pPr>
              <w:rPr>
                <w:rFonts w:ascii="Arial" w:eastAsia="Calibri" w:hAnsi="Arial" w:cs="Arial"/>
                <w:sz w:val="20"/>
                <w:szCs w:val="20"/>
              </w:rPr>
            </w:pPr>
          </w:p>
          <w:p w14:paraId="25E4F09C" w14:textId="77777777" w:rsidR="00324E42" w:rsidRPr="00B903F5" w:rsidRDefault="00324E42" w:rsidP="00300189">
            <w:pPr>
              <w:rPr>
                <w:rFonts w:ascii="Arial" w:eastAsia="Calibri" w:hAnsi="Arial" w:cs="Arial"/>
                <w:sz w:val="20"/>
                <w:szCs w:val="20"/>
              </w:rPr>
            </w:pPr>
          </w:p>
          <w:p w14:paraId="5AEF4B7D" w14:textId="77777777" w:rsidR="00324E42" w:rsidRPr="00B903F5" w:rsidRDefault="00324E42" w:rsidP="00300189">
            <w:pPr>
              <w:rPr>
                <w:rFonts w:ascii="Arial" w:eastAsia="Calibri" w:hAnsi="Arial" w:cs="Arial"/>
                <w:sz w:val="20"/>
                <w:szCs w:val="20"/>
              </w:rPr>
            </w:pPr>
          </w:p>
          <w:p w14:paraId="292FEACE" w14:textId="77777777" w:rsidR="00324E42" w:rsidRPr="00B903F5" w:rsidRDefault="00324E42" w:rsidP="00300189">
            <w:pPr>
              <w:rPr>
                <w:rFonts w:ascii="Arial" w:eastAsia="Calibri" w:hAnsi="Arial" w:cs="Arial"/>
                <w:sz w:val="20"/>
                <w:szCs w:val="20"/>
              </w:rPr>
            </w:pPr>
          </w:p>
          <w:p w14:paraId="2E4FA5FF" w14:textId="77777777" w:rsidR="00324E42" w:rsidRPr="00B903F5" w:rsidRDefault="00324E42" w:rsidP="00300189">
            <w:pPr>
              <w:rPr>
                <w:rFonts w:ascii="Arial" w:eastAsia="Calibri" w:hAnsi="Arial" w:cs="Arial"/>
                <w:sz w:val="20"/>
                <w:szCs w:val="20"/>
              </w:rPr>
            </w:pPr>
          </w:p>
          <w:p w14:paraId="409FF437" w14:textId="77777777" w:rsidR="00324E42" w:rsidRPr="00B903F5" w:rsidRDefault="00324E42" w:rsidP="00300189">
            <w:pPr>
              <w:rPr>
                <w:rFonts w:ascii="Arial" w:eastAsia="Calibri" w:hAnsi="Arial" w:cs="Arial"/>
                <w:sz w:val="20"/>
                <w:szCs w:val="20"/>
              </w:rPr>
            </w:pPr>
          </w:p>
          <w:p w14:paraId="5368ADE2" w14:textId="77777777" w:rsidR="00324E42" w:rsidRPr="00B903F5" w:rsidRDefault="00324E42" w:rsidP="00300189">
            <w:pPr>
              <w:rPr>
                <w:rFonts w:ascii="Arial" w:eastAsia="Calibri" w:hAnsi="Arial" w:cs="Arial"/>
                <w:sz w:val="20"/>
                <w:szCs w:val="20"/>
              </w:rPr>
            </w:pPr>
          </w:p>
        </w:tc>
        <w:tc>
          <w:tcPr>
            <w:tcW w:w="1474" w:type="pct"/>
            <w:vMerge w:val="restart"/>
            <w:shd w:val="clear" w:color="auto" w:fill="auto"/>
          </w:tcPr>
          <w:p w14:paraId="71E39103" w14:textId="77777777" w:rsidR="00324E42" w:rsidRPr="00B903F5" w:rsidRDefault="00324E42" w:rsidP="005F5732">
            <w:pPr>
              <w:pStyle w:val="ListParagraph"/>
              <w:numPr>
                <w:ilvl w:val="0"/>
                <w:numId w:val="1"/>
              </w:numPr>
              <w:ind w:left="405"/>
              <w:rPr>
                <w:rFonts w:ascii="Arial" w:eastAsia="Calibri" w:hAnsi="Arial" w:cs="Arial"/>
                <w:sz w:val="20"/>
                <w:szCs w:val="20"/>
              </w:rPr>
            </w:pPr>
            <w:r w:rsidRPr="00B903F5">
              <w:rPr>
                <w:rFonts w:ascii="Arial" w:eastAsia="Calibri" w:hAnsi="Arial" w:cs="Arial"/>
                <w:sz w:val="20"/>
                <w:szCs w:val="20"/>
              </w:rPr>
              <w:lastRenderedPageBreak/>
              <w:t>A definition of supported decision making must be provided and be consistent with international disability standards.</w:t>
            </w:r>
          </w:p>
          <w:p w14:paraId="423F1F18" w14:textId="77777777" w:rsidR="00324E42" w:rsidRPr="00B903F5" w:rsidRDefault="00324E42" w:rsidP="005F5732">
            <w:pPr>
              <w:pStyle w:val="ListParagraph"/>
              <w:ind w:left="405"/>
              <w:rPr>
                <w:rFonts w:ascii="Arial" w:eastAsia="Calibri" w:hAnsi="Arial" w:cs="Arial"/>
                <w:sz w:val="20"/>
                <w:szCs w:val="20"/>
              </w:rPr>
            </w:pPr>
          </w:p>
          <w:p w14:paraId="0A98B111" w14:textId="77777777" w:rsidR="00324E42" w:rsidRPr="00B903F5" w:rsidRDefault="00324E42" w:rsidP="005F5732">
            <w:pPr>
              <w:ind w:left="45"/>
              <w:rPr>
                <w:rFonts w:ascii="Arial" w:eastAsia="Calibri" w:hAnsi="Arial" w:cs="Arial"/>
                <w:color w:val="7030A0"/>
                <w:sz w:val="20"/>
                <w:szCs w:val="20"/>
              </w:rPr>
            </w:pPr>
            <w:r w:rsidRPr="00B903F5">
              <w:rPr>
                <w:rFonts w:ascii="Arial" w:eastAsia="Calibri" w:hAnsi="Arial" w:cs="Arial"/>
                <w:color w:val="7030A0"/>
                <w:sz w:val="20"/>
                <w:szCs w:val="20"/>
              </w:rPr>
              <w:t>Advance statements:</w:t>
            </w:r>
          </w:p>
          <w:p w14:paraId="1ECD8862" w14:textId="77777777" w:rsidR="00324E42" w:rsidRPr="00B903F5" w:rsidRDefault="00324E42" w:rsidP="005F5732">
            <w:pPr>
              <w:pStyle w:val="ListParagraph"/>
              <w:numPr>
                <w:ilvl w:val="0"/>
                <w:numId w:val="1"/>
              </w:numPr>
              <w:ind w:left="405"/>
              <w:rPr>
                <w:rFonts w:ascii="Arial" w:eastAsia="Calibri" w:hAnsi="Arial" w:cs="Arial"/>
                <w:sz w:val="20"/>
                <w:szCs w:val="20"/>
              </w:rPr>
            </w:pPr>
            <w:r w:rsidRPr="00B903F5">
              <w:rPr>
                <w:rFonts w:ascii="Arial" w:eastAsia="Calibri" w:hAnsi="Arial" w:cs="Arial"/>
                <w:sz w:val="20"/>
                <w:szCs w:val="20"/>
              </w:rPr>
              <w:t>must be binding, or they are not a part of supported decision making.</w:t>
            </w:r>
          </w:p>
          <w:p w14:paraId="4DF5DBB6" w14:textId="77777777" w:rsidR="00324E42" w:rsidRPr="00B903F5" w:rsidRDefault="00324E42" w:rsidP="005F5732">
            <w:pPr>
              <w:pStyle w:val="ListParagraph"/>
              <w:numPr>
                <w:ilvl w:val="0"/>
                <w:numId w:val="1"/>
              </w:numPr>
              <w:ind w:left="405"/>
              <w:rPr>
                <w:rFonts w:ascii="Arial" w:eastAsia="Calibri" w:hAnsi="Arial" w:cs="Arial"/>
                <w:sz w:val="20"/>
                <w:szCs w:val="20"/>
              </w:rPr>
            </w:pPr>
            <w:r w:rsidRPr="00B903F5">
              <w:rPr>
                <w:rFonts w:ascii="Arial" w:eastAsia="Calibri" w:hAnsi="Arial" w:cs="Arial"/>
                <w:sz w:val="20"/>
                <w:szCs w:val="20"/>
              </w:rPr>
              <w:t>must be read even if the person is a voluntary patient.</w:t>
            </w:r>
          </w:p>
          <w:p w14:paraId="6BFAB33A" w14:textId="77777777" w:rsidR="00324E42" w:rsidRPr="00B903F5" w:rsidRDefault="00324E42" w:rsidP="005F5732">
            <w:pPr>
              <w:pStyle w:val="ListParagraph"/>
              <w:numPr>
                <w:ilvl w:val="0"/>
                <w:numId w:val="1"/>
              </w:numPr>
              <w:ind w:left="405"/>
              <w:rPr>
                <w:rFonts w:ascii="Arial" w:eastAsia="Calibri" w:hAnsi="Arial" w:cs="Arial"/>
                <w:sz w:val="20"/>
                <w:szCs w:val="20"/>
              </w:rPr>
            </w:pPr>
            <w:r w:rsidRPr="00B903F5">
              <w:rPr>
                <w:rFonts w:ascii="Arial" w:eastAsia="Calibri" w:hAnsi="Arial" w:cs="Arial"/>
                <w:sz w:val="20"/>
                <w:szCs w:val="20"/>
              </w:rPr>
              <w:lastRenderedPageBreak/>
              <w:t>Services must document and evidence how they have given all due consideration to an advance statement, in the medical file and in writing to the consumer.</w:t>
            </w:r>
          </w:p>
          <w:p w14:paraId="0BBA974F" w14:textId="77777777" w:rsidR="00324E42" w:rsidRPr="00B903F5" w:rsidRDefault="00324E42" w:rsidP="005F5732">
            <w:pPr>
              <w:pStyle w:val="ListParagraph"/>
              <w:numPr>
                <w:ilvl w:val="0"/>
                <w:numId w:val="1"/>
              </w:numPr>
              <w:ind w:left="405"/>
              <w:rPr>
                <w:rFonts w:ascii="Arial" w:eastAsia="Calibri" w:hAnsi="Arial" w:cs="Arial"/>
                <w:sz w:val="20"/>
                <w:szCs w:val="20"/>
              </w:rPr>
            </w:pPr>
            <w:r w:rsidRPr="00B903F5">
              <w:rPr>
                <w:rFonts w:ascii="Arial" w:eastAsia="Calibri" w:hAnsi="Arial" w:cs="Arial"/>
                <w:sz w:val="20"/>
                <w:szCs w:val="20"/>
              </w:rPr>
              <w:t>Store advance statements or directives on a centralised database managed by the new Mental Health and Wellbeing Commission.</w:t>
            </w:r>
          </w:p>
          <w:p w14:paraId="104B6015" w14:textId="77777777" w:rsidR="00324E42" w:rsidRPr="00B903F5" w:rsidRDefault="00324E42" w:rsidP="005F5732">
            <w:pPr>
              <w:pStyle w:val="ListParagraph"/>
              <w:ind w:left="405"/>
              <w:rPr>
                <w:rFonts w:ascii="Arial" w:eastAsia="Calibri" w:hAnsi="Arial" w:cs="Arial"/>
                <w:sz w:val="20"/>
                <w:szCs w:val="20"/>
              </w:rPr>
            </w:pPr>
          </w:p>
          <w:p w14:paraId="36B1C9D1" w14:textId="77777777" w:rsidR="00324E42" w:rsidRPr="00B903F5" w:rsidRDefault="00324E42" w:rsidP="005F5732">
            <w:pPr>
              <w:rPr>
                <w:rFonts w:ascii="Arial" w:eastAsia="Calibri" w:hAnsi="Arial" w:cs="Arial"/>
                <w:color w:val="7030A0"/>
                <w:sz w:val="20"/>
                <w:szCs w:val="20"/>
              </w:rPr>
            </w:pPr>
            <w:r w:rsidRPr="00B903F5">
              <w:rPr>
                <w:rFonts w:ascii="Arial" w:eastAsia="Calibri" w:hAnsi="Arial" w:cs="Arial"/>
                <w:color w:val="7030A0"/>
                <w:sz w:val="20"/>
                <w:szCs w:val="20"/>
              </w:rPr>
              <w:t>Nominated persons:</w:t>
            </w:r>
          </w:p>
          <w:p w14:paraId="5D9815A4" w14:textId="77777777" w:rsidR="00324E42" w:rsidRPr="00B903F5" w:rsidRDefault="00324E42" w:rsidP="005F5732">
            <w:pPr>
              <w:pStyle w:val="ListParagraph"/>
              <w:numPr>
                <w:ilvl w:val="0"/>
                <w:numId w:val="1"/>
              </w:numPr>
              <w:ind w:left="405"/>
              <w:rPr>
                <w:rFonts w:ascii="Arial" w:eastAsia="Calibri" w:hAnsi="Arial" w:cs="Arial"/>
                <w:sz w:val="20"/>
                <w:szCs w:val="20"/>
              </w:rPr>
            </w:pPr>
            <w:r w:rsidRPr="00B903F5">
              <w:rPr>
                <w:rFonts w:ascii="Arial" w:eastAsia="Calibri" w:hAnsi="Arial" w:cs="Arial"/>
                <w:sz w:val="20"/>
                <w:szCs w:val="20"/>
              </w:rPr>
              <w:t>specify that the role of nominated person is separate from that of carer.</w:t>
            </w:r>
          </w:p>
          <w:p w14:paraId="2E830FB1" w14:textId="77777777" w:rsidR="00324E42" w:rsidRPr="00B903F5" w:rsidRDefault="00324E42" w:rsidP="005F5732">
            <w:pPr>
              <w:pStyle w:val="ListParagraph"/>
              <w:numPr>
                <w:ilvl w:val="0"/>
                <w:numId w:val="1"/>
              </w:numPr>
              <w:ind w:left="405"/>
              <w:rPr>
                <w:rFonts w:ascii="Arial" w:eastAsia="Calibri" w:hAnsi="Arial" w:cs="Arial"/>
                <w:sz w:val="20"/>
                <w:szCs w:val="20"/>
              </w:rPr>
            </w:pPr>
            <w:r w:rsidRPr="00B903F5">
              <w:rPr>
                <w:rFonts w:ascii="Arial" w:eastAsia="Calibri" w:hAnsi="Arial" w:cs="Arial"/>
                <w:sz w:val="20"/>
                <w:szCs w:val="20"/>
              </w:rPr>
              <w:t>all nominated persons sign a statement on accepting this role that they:</w:t>
            </w:r>
          </w:p>
          <w:p w14:paraId="74FDCE57" w14:textId="77777777" w:rsidR="00324E42" w:rsidRPr="00B903F5" w:rsidRDefault="00324E42" w:rsidP="005F5732">
            <w:pPr>
              <w:pStyle w:val="ListParagraph"/>
              <w:numPr>
                <w:ilvl w:val="1"/>
                <w:numId w:val="1"/>
              </w:numPr>
              <w:ind w:left="689"/>
              <w:rPr>
                <w:rFonts w:ascii="Arial" w:eastAsia="Calibri" w:hAnsi="Arial" w:cs="Arial"/>
                <w:sz w:val="20"/>
                <w:szCs w:val="20"/>
              </w:rPr>
            </w:pPr>
            <w:r w:rsidRPr="00B903F5">
              <w:rPr>
                <w:rFonts w:ascii="Arial" w:eastAsia="Calibri" w:hAnsi="Arial" w:cs="Arial"/>
                <w:sz w:val="20"/>
                <w:szCs w:val="20"/>
              </w:rPr>
              <w:t xml:space="preserve"> </w:t>
            </w:r>
            <w:proofErr w:type="gramStart"/>
            <w:r w:rsidRPr="00B903F5">
              <w:rPr>
                <w:rFonts w:ascii="Arial" w:eastAsia="Calibri" w:hAnsi="Arial" w:cs="Arial"/>
                <w:sz w:val="20"/>
                <w:szCs w:val="20"/>
              </w:rPr>
              <w:t>have</w:t>
            </w:r>
            <w:proofErr w:type="gramEnd"/>
            <w:r w:rsidRPr="00B903F5">
              <w:rPr>
                <w:rFonts w:ascii="Arial" w:eastAsia="Calibri" w:hAnsi="Arial" w:cs="Arial"/>
                <w:sz w:val="20"/>
                <w:szCs w:val="20"/>
              </w:rPr>
              <w:t xml:space="preserve"> an obligation to uphold the consumer’s rights, views and preferences.</w:t>
            </w:r>
          </w:p>
          <w:p w14:paraId="47E1E607" w14:textId="77777777" w:rsidR="00324E42" w:rsidRPr="00B903F5" w:rsidRDefault="00324E42" w:rsidP="005F5732">
            <w:pPr>
              <w:pStyle w:val="ListParagraph"/>
              <w:numPr>
                <w:ilvl w:val="1"/>
                <w:numId w:val="1"/>
              </w:numPr>
              <w:ind w:left="689"/>
              <w:rPr>
                <w:rFonts w:ascii="Arial" w:eastAsia="Calibri" w:hAnsi="Arial" w:cs="Arial"/>
                <w:sz w:val="20"/>
                <w:szCs w:val="20"/>
              </w:rPr>
            </w:pPr>
            <w:r w:rsidRPr="00B903F5">
              <w:rPr>
                <w:rFonts w:ascii="Arial" w:eastAsia="Calibri" w:hAnsi="Arial" w:cs="Arial"/>
                <w:sz w:val="20"/>
                <w:szCs w:val="20"/>
              </w:rPr>
              <w:t xml:space="preserve">agree to promote the consumer’s personal social wellbeing. </w:t>
            </w:r>
          </w:p>
          <w:p w14:paraId="40426F4A" w14:textId="77777777" w:rsidR="00324E42" w:rsidRPr="00B903F5" w:rsidRDefault="00324E42" w:rsidP="005F5732">
            <w:pPr>
              <w:pStyle w:val="ListParagraph"/>
              <w:numPr>
                <w:ilvl w:val="1"/>
                <w:numId w:val="1"/>
              </w:numPr>
              <w:ind w:left="689"/>
              <w:rPr>
                <w:rFonts w:ascii="Arial" w:eastAsia="Calibri" w:hAnsi="Arial" w:cs="Arial"/>
                <w:sz w:val="20"/>
                <w:szCs w:val="20"/>
              </w:rPr>
            </w:pPr>
            <w:r w:rsidRPr="00B903F5">
              <w:rPr>
                <w:rFonts w:ascii="Arial" w:eastAsia="Calibri" w:hAnsi="Arial" w:cs="Arial"/>
                <w:sz w:val="20"/>
                <w:szCs w:val="20"/>
              </w:rPr>
              <w:t xml:space="preserve"> agree to read and understand any advance statement the consumer makes</w:t>
            </w:r>
          </w:p>
          <w:p w14:paraId="4FB42E11" w14:textId="77777777" w:rsidR="00324E42" w:rsidRPr="00B903F5" w:rsidRDefault="00324E42" w:rsidP="005F5732">
            <w:pPr>
              <w:pStyle w:val="ListParagraph"/>
              <w:numPr>
                <w:ilvl w:val="1"/>
                <w:numId w:val="1"/>
              </w:numPr>
              <w:ind w:left="689"/>
              <w:rPr>
                <w:rFonts w:ascii="Arial" w:eastAsia="Calibri" w:hAnsi="Arial" w:cs="Arial"/>
                <w:sz w:val="20"/>
                <w:szCs w:val="20"/>
              </w:rPr>
            </w:pPr>
            <w:r w:rsidRPr="00B903F5">
              <w:rPr>
                <w:rFonts w:ascii="Arial" w:eastAsia="Calibri" w:hAnsi="Arial" w:cs="Arial"/>
                <w:sz w:val="20"/>
                <w:szCs w:val="20"/>
              </w:rPr>
              <w:t xml:space="preserve"> agree to provide consumers with support to make their own decisions.</w:t>
            </w:r>
          </w:p>
          <w:p w14:paraId="4E582741" w14:textId="77777777" w:rsidR="00324E42" w:rsidRPr="00B903F5" w:rsidRDefault="00324E42" w:rsidP="005F5732">
            <w:pPr>
              <w:pStyle w:val="ListParagraph"/>
              <w:ind w:left="689"/>
              <w:rPr>
                <w:rFonts w:ascii="Arial" w:eastAsia="Calibri" w:hAnsi="Arial" w:cs="Arial"/>
                <w:sz w:val="20"/>
                <w:szCs w:val="20"/>
              </w:rPr>
            </w:pPr>
          </w:p>
          <w:p w14:paraId="26E6C3BA" w14:textId="77777777" w:rsidR="00324E42" w:rsidRPr="00B903F5" w:rsidRDefault="00324E42" w:rsidP="005F5732">
            <w:pPr>
              <w:rPr>
                <w:rFonts w:ascii="Arial" w:eastAsia="Calibri" w:hAnsi="Arial" w:cs="Arial"/>
                <w:color w:val="7030A0"/>
                <w:sz w:val="20"/>
                <w:szCs w:val="20"/>
              </w:rPr>
            </w:pPr>
            <w:r w:rsidRPr="00B903F5">
              <w:rPr>
                <w:rFonts w:ascii="Arial" w:eastAsia="Calibri" w:hAnsi="Arial" w:cs="Arial"/>
                <w:color w:val="7030A0"/>
                <w:sz w:val="20"/>
                <w:szCs w:val="20"/>
              </w:rPr>
              <w:t>Second opinions:</w:t>
            </w:r>
          </w:p>
          <w:p w14:paraId="7DEF8B9C" w14:textId="77777777" w:rsidR="00324E42" w:rsidRPr="00B903F5" w:rsidRDefault="00324E42" w:rsidP="005F5732">
            <w:pPr>
              <w:pStyle w:val="ListParagraph"/>
              <w:numPr>
                <w:ilvl w:val="0"/>
                <w:numId w:val="2"/>
              </w:numPr>
              <w:ind w:left="405"/>
              <w:rPr>
                <w:rFonts w:ascii="Arial" w:eastAsia="Calibri" w:hAnsi="Arial" w:cs="Arial"/>
                <w:sz w:val="20"/>
                <w:szCs w:val="20"/>
              </w:rPr>
            </w:pPr>
            <w:r w:rsidRPr="00B903F5">
              <w:rPr>
                <w:rFonts w:ascii="Arial" w:eastAsia="Calibri" w:hAnsi="Arial" w:cs="Arial"/>
                <w:sz w:val="20"/>
                <w:szCs w:val="20"/>
              </w:rPr>
              <w:t>Second opinions must be able to be given by other mental health professionals.</w:t>
            </w:r>
          </w:p>
          <w:p w14:paraId="69CBE617" w14:textId="77777777" w:rsidR="00324E42" w:rsidRPr="00B903F5" w:rsidRDefault="00324E42" w:rsidP="005F5732">
            <w:pPr>
              <w:pStyle w:val="ListParagraph"/>
              <w:numPr>
                <w:ilvl w:val="0"/>
                <w:numId w:val="2"/>
              </w:numPr>
              <w:ind w:left="405"/>
              <w:rPr>
                <w:rFonts w:ascii="Arial" w:eastAsia="Calibri" w:hAnsi="Arial" w:cs="Arial"/>
                <w:sz w:val="20"/>
                <w:szCs w:val="20"/>
              </w:rPr>
            </w:pPr>
            <w:r w:rsidRPr="00B903F5">
              <w:rPr>
                <w:rFonts w:ascii="Arial" w:eastAsia="Calibri" w:hAnsi="Arial" w:cs="Arial"/>
                <w:sz w:val="20"/>
                <w:szCs w:val="20"/>
              </w:rPr>
              <w:t>The second psychiatric opinion service must be independent of clinical mental health services.</w:t>
            </w:r>
          </w:p>
          <w:p w14:paraId="4E46FB76" w14:textId="77777777" w:rsidR="00324E42" w:rsidRPr="00B903F5" w:rsidRDefault="00324E42" w:rsidP="005F5732">
            <w:pPr>
              <w:pStyle w:val="ListParagraph"/>
              <w:numPr>
                <w:ilvl w:val="0"/>
                <w:numId w:val="2"/>
              </w:numPr>
              <w:ind w:left="405"/>
              <w:rPr>
                <w:rFonts w:ascii="Arial" w:eastAsia="Calibri" w:hAnsi="Arial" w:cs="Arial"/>
                <w:sz w:val="20"/>
                <w:szCs w:val="20"/>
              </w:rPr>
            </w:pPr>
            <w:r w:rsidRPr="00B903F5">
              <w:rPr>
                <w:rFonts w:ascii="Arial" w:eastAsia="Calibri" w:hAnsi="Arial" w:cs="Arial"/>
                <w:sz w:val="20"/>
                <w:szCs w:val="20"/>
              </w:rPr>
              <w:t>Must be at no cost</w:t>
            </w:r>
          </w:p>
          <w:p w14:paraId="1429C86B" w14:textId="77777777" w:rsidR="00324E42" w:rsidRPr="00B903F5" w:rsidRDefault="00324E42" w:rsidP="005F5732">
            <w:pPr>
              <w:pStyle w:val="ListParagraph"/>
              <w:numPr>
                <w:ilvl w:val="0"/>
                <w:numId w:val="2"/>
              </w:numPr>
              <w:ind w:left="405"/>
              <w:rPr>
                <w:rFonts w:ascii="Arial" w:eastAsia="Calibri" w:hAnsi="Arial" w:cs="Arial"/>
                <w:sz w:val="20"/>
                <w:szCs w:val="20"/>
              </w:rPr>
            </w:pPr>
            <w:r w:rsidRPr="00B903F5">
              <w:rPr>
                <w:rFonts w:ascii="Arial" w:eastAsia="Calibri" w:hAnsi="Arial" w:cs="Arial"/>
                <w:sz w:val="20"/>
                <w:szCs w:val="20"/>
              </w:rPr>
              <w:t>Copies of the second psychiatric opinion are to be given to the consumer within a timely period</w:t>
            </w:r>
          </w:p>
          <w:p w14:paraId="21FA6F97" w14:textId="77777777" w:rsidR="00324E42" w:rsidRPr="00B903F5" w:rsidRDefault="00324E42" w:rsidP="005F5732">
            <w:pPr>
              <w:rPr>
                <w:rFonts w:ascii="Arial" w:eastAsia="Calibri" w:hAnsi="Arial" w:cs="Arial"/>
                <w:sz w:val="20"/>
                <w:szCs w:val="20"/>
              </w:rPr>
            </w:pPr>
            <w:r w:rsidRPr="00B903F5">
              <w:rPr>
                <w:rFonts w:ascii="Arial" w:eastAsia="Calibri" w:hAnsi="Arial" w:cs="Arial"/>
                <w:sz w:val="20"/>
                <w:szCs w:val="20"/>
              </w:rPr>
              <w:t xml:space="preserve"> </w:t>
            </w:r>
          </w:p>
        </w:tc>
        <w:tc>
          <w:tcPr>
            <w:tcW w:w="2698" w:type="pct"/>
            <w:shd w:val="clear" w:color="auto" w:fill="auto"/>
          </w:tcPr>
          <w:p w14:paraId="1F97A89B" w14:textId="77777777" w:rsidR="00324E42" w:rsidRPr="00B903F5" w:rsidRDefault="00324E42" w:rsidP="005F5732">
            <w:pPr>
              <w:rPr>
                <w:rFonts w:ascii="Arial" w:hAnsi="Arial" w:cs="Arial"/>
                <w:color w:val="FF0000"/>
                <w:sz w:val="20"/>
                <w:szCs w:val="20"/>
                <w:shd w:val="clear" w:color="auto" w:fill="FFFFFF"/>
              </w:rPr>
            </w:pPr>
            <w:r w:rsidRPr="00B903F5">
              <w:rPr>
                <w:rFonts w:ascii="Arial" w:hAnsi="Arial" w:cs="Arial"/>
                <w:color w:val="FF0000"/>
                <w:sz w:val="20"/>
                <w:szCs w:val="20"/>
                <w:shd w:val="clear" w:color="auto" w:fill="FFFFFF"/>
              </w:rPr>
              <w:lastRenderedPageBreak/>
              <w:t>Your response to Question 5</w:t>
            </w:r>
          </w:p>
          <w:p w14:paraId="182C175B" w14:textId="77777777" w:rsidR="00324E42" w:rsidRPr="00B903F5" w:rsidRDefault="00324E42" w:rsidP="005F5732">
            <w:pPr>
              <w:rPr>
                <w:rFonts w:ascii="Arial" w:hAnsi="Arial" w:cs="Arial"/>
                <w:color w:val="FF0000"/>
                <w:sz w:val="20"/>
                <w:szCs w:val="20"/>
              </w:rPr>
            </w:pPr>
            <w:r w:rsidRPr="00B903F5">
              <w:rPr>
                <w:rFonts w:ascii="Arial" w:hAnsi="Arial" w:cs="Arial"/>
                <w:color w:val="FF0000"/>
                <w:sz w:val="20"/>
                <w:szCs w:val="20"/>
              </w:rPr>
              <w:t>If no, why?</w:t>
            </w:r>
          </w:p>
          <w:p w14:paraId="6E88B7C0" w14:textId="77777777" w:rsidR="00324E42" w:rsidRPr="00B903F5" w:rsidRDefault="00324E42" w:rsidP="005F5732">
            <w:pPr>
              <w:rPr>
                <w:rFonts w:ascii="Arial" w:eastAsia="Calibri" w:hAnsi="Arial" w:cs="Arial"/>
                <w:sz w:val="20"/>
                <w:szCs w:val="20"/>
              </w:rPr>
            </w:pPr>
          </w:p>
        </w:tc>
      </w:tr>
      <w:tr w:rsidR="00324E42" w:rsidRPr="00B903F5" w14:paraId="541180CF" w14:textId="77777777" w:rsidTr="00324E42">
        <w:tc>
          <w:tcPr>
            <w:tcW w:w="828" w:type="pct"/>
            <w:shd w:val="clear" w:color="auto" w:fill="auto"/>
          </w:tcPr>
          <w:p w14:paraId="6B24CAFE" w14:textId="0F014EFB" w:rsidR="00324E42" w:rsidRPr="00B903F5" w:rsidRDefault="00324E42" w:rsidP="00300189">
            <w:pPr>
              <w:spacing w:after="160" w:line="259" w:lineRule="auto"/>
              <w:rPr>
                <w:rFonts w:ascii="Arial" w:hAnsi="Arial" w:cs="Arial"/>
                <w:sz w:val="20"/>
                <w:szCs w:val="20"/>
                <w:shd w:val="clear" w:color="auto" w:fill="FFFFFF"/>
              </w:rPr>
            </w:pPr>
            <w:r w:rsidRPr="00B903F5">
              <w:rPr>
                <w:rFonts w:ascii="Arial" w:hAnsi="Arial" w:cs="Arial"/>
                <w:color w:val="FF0000"/>
                <w:sz w:val="20"/>
                <w:szCs w:val="20"/>
                <w:shd w:val="clear" w:color="auto" w:fill="FFFFFF"/>
              </w:rPr>
              <w:t>Question 6</w:t>
            </w:r>
            <w:r w:rsidRPr="00B903F5">
              <w:rPr>
                <w:rFonts w:ascii="Arial" w:hAnsi="Arial" w:cs="Arial"/>
                <w:sz w:val="20"/>
                <w:szCs w:val="20"/>
                <w:shd w:val="clear" w:color="auto" w:fill="FFFFFF"/>
              </w:rPr>
              <w:t xml:space="preserve">: </w:t>
            </w:r>
            <w:r w:rsidR="00B903F5">
              <w:rPr>
                <w:rFonts w:ascii="Arial" w:hAnsi="Arial" w:cs="Arial"/>
                <w:sz w:val="20"/>
                <w:szCs w:val="20"/>
                <w:shd w:val="clear" w:color="auto" w:fill="FFFFFF"/>
              </w:rPr>
              <w:br/>
            </w:r>
            <w:r w:rsidRPr="00B903F5">
              <w:rPr>
                <w:rFonts w:ascii="Arial" w:hAnsi="Arial" w:cs="Arial"/>
                <w:sz w:val="20"/>
                <w:szCs w:val="20"/>
                <w:shd w:val="clear" w:color="auto" w:fill="FFFFFF"/>
              </w:rPr>
              <w:t xml:space="preserve">How do you think the proposals about supported </w:t>
            </w:r>
            <w:proofErr w:type="gramStart"/>
            <w:r w:rsidRPr="00B903F5">
              <w:rPr>
                <w:rFonts w:ascii="Arial" w:hAnsi="Arial" w:cs="Arial"/>
                <w:sz w:val="20"/>
                <w:szCs w:val="20"/>
                <w:shd w:val="clear" w:color="auto" w:fill="FFFFFF"/>
              </w:rPr>
              <w:t>decision making</w:t>
            </w:r>
            <w:proofErr w:type="gramEnd"/>
            <w:r w:rsidRPr="00B903F5">
              <w:rPr>
                <w:rFonts w:ascii="Arial" w:hAnsi="Arial" w:cs="Arial"/>
                <w:sz w:val="20"/>
                <w:szCs w:val="20"/>
                <w:shd w:val="clear" w:color="auto" w:fill="FFFFFF"/>
              </w:rPr>
              <w:t xml:space="preserve"> could be improved? (Section 3.2 in the paper)</w:t>
            </w:r>
          </w:p>
          <w:p w14:paraId="19166562" w14:textId="77777777" w:rsidR="00324E42" w:rsidRPr="00B903F5" w:rsidRDefault="00324E42" w:rsidP="00300189">
            <w:pPr>
              <w:rPr>
                <w:rFonts w:ascii="Arial" w:hAnsi="Arial" w:cs="Arial"/>
                <w:color w:val="FF0000"/>
                <w:sz w:val="20"/>
                <w:szCs w:val="20"/>
                <w:shd w:val="clear" w:color="auto" w:fill="FFFFFF"/>
              </w:rPr>
            </w:pPr>
          </w:p>
        </w:tc>
        <w:tc>
          <w:tcPr>
            <w:tcW w:w="1474" w:type="pct"/>
            <w:vMerge/>
            <w:shd w:val="clear" w:color="auto" w:fill="auto"/>
          </w:tcPr>
          <w:p w14:paraId="0B3C0FCF" w14:textId="77777777" w:rsidR="00324E42" w:rsidRPr="00B903F5" w:rsidRDefault="00324E42" w:rsidP="005F5732">
            <w:pPr>
              <w:pStyle w:val="ListParagraph"/>
              <w:numPr>
                <w:ilvl w:val="0"/>
                <w:numId w:val="1"/>
              </w:numPr>
              <w:ind w:left="405"/>
              <w:rPr>
                <w:rFonts w:ascii="Arial" w:eastAsia="Calibri" w:hAnsi="Arial" w:cs="Arial"/>
                <w:sz w:val="20"/>
                <w:szCs w:val="20"/>
              </w:rPr>
            </w:pPr>
          </w:p>
        </w:tc>
        <w:tc>
          <w:tcPr>
            <w:tcW w:w="2698" w:type="pct"/>
            <w:shd w:val="clear" w:color="auto" w:fill="auto"/>
          </w:tcPr>
          <w:p w14:paraId="1A373C50" w14:textId="0BC67579" w:rsidR="00324E42" w:rsidRPr="00B903F5" w:rsidRDefault="00324E42" w:rsidP="005F5732">
            <w:pPr>
              <w:rPr>
                <w:rFonts w:ascii="Arial" w:hAnsi="Arial" w:cs="Arial"/>
                <w:color w:val="FF0000"/>
                <w:sz w:val="20"/>
                <w:szCs w:val="20"/>
                <w:shd w:val="clear" w:color="auto" w:fill="FFFFFF"/>
              </w:rPr>
            </w:pPr>
            <w:r w:rsidRPr="00B903F5">
              <w:rPr>
                <w:rFonts w:ascii="Arial" w:hAnsi="Arial" w:cs="Arial"/>
                <w:color w:val="FF0000"/>
                <w:sz w:val="20"/>
                <w:szCs w:val="20"/>
                <w:shd w:val="clear" w:color="auto" w:fill="FFFFFF"/>
              </w:rPr>
              <w:t>Your response to Question 6</w:t>
            </w:r>
          </w:p>
        </w:tc>
      </w:tr>
      <w:bookmarkEnd w:id="0"/>
    </w:tbl>
    <w:p w14:paraId="3253B4FF" w14:textId="77777777" w:rsidR="00EB3417" w:rsidRPr="00B903F5" w:rsidRDefault="00B97B62">
      <w:pPr>
        <w:rPr>
          <w:rFonts w:ascii="Arial" w:hAnsi="Arial" w:cs="Arial"/>
        </w:rPr>
      </w:pPr>
    </w:p>
    <w:sectPr w:rsidR="00EB3417" w:rsidRPr="00B903F5" w:rsidSect="00324E4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355F0" w14:textId="77777777" w:rsidR="00B97B62" w:rsidRDefault="00B97B62" w:rsidP="00B903F5">
      <w:pPr>
        <w:spacing w:after="0" w:line="240" w:lineRule="auto"/>
      </w:pPr>
      <w:r>
        <w:separator/>
      </w:r>
    </w:p>
  </w:endnote>
  <w:endnote w:type="continuationSeparator" w:id="0">
    <w:p w14:paraId="22F50ACE" w14:textId="77777777" w:rsidR="00B97B62" w:rsidRDefault="00B97B62" w:rsidP="00B9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54157" w14:textId="77777777" w:rsidR="00B97B62" w:rsidRDefault="00B97B62" w:rsidP="00B903F5">
      <w:pPr>
        <w:spacing w:after="0" w:line="240" w:lineRule="auto"/>
      </w:pPr>
      <w:r>
        <w:separator/>
      </w:r>
    </w:p>
  </w:footnote>
  <w:footnote w:type="continuationSeparator" w:id="0">
    <w:p w14:paraId="3E9761EA" w14:textId="77777777" w:rsidR="00B97B62" w:rsidRDefault="00B97B62" w:rsidP="00B90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5123" w14:textId="52C26874" w:rsidR="00B903F5" w:rsidRPr="00B903F5" w:rsidRDefault="00B903F5" w:rsidP="00B903F5">
    <w:pPr>
      <w:rPr>
        <w:rFonts w:ascii="Arial" w:hAnsi="Arial" w:cs="Arial"/>
      </w:rPr>
    </w:pPr>
    <w:r w:rsidRPr="00D23787">
      <w:rPr>
        <w:noProof/>
        <w:color w:val="7030A0"/>
        <w:lang w:val="en-US"/>
      </w:rPr>
      <w:drawing>
        <wp:anchor distT="0" distB="0" distL="114300" distR="114300" simplePos="0" relativeHeight="251659264" behindDoc="0" locked="0" layoutInCell="1" allowOverlap="1" wp14:anchorId="4B425681" wp14:editId="4AFD6DE7">
          <wp:simplePos x="0" y="0"/>
          <wp:positionH relativeFrom="column">
            <wp:posOffset>7464425</wp:posOffset>
          </wp:positionH>
          <wp:positionV relativeFrom="paragraph">
            <wp:posOffset>-144780</wp:posOffset>
          </wp:positionV>
          <wp:extent cx="2270125" cy="689610"/>
          <wp:effectExtent l="0" t="0" r="0" b="0"/>
          <wp:wrapSquare wrapText="bothSides"/>
          <wp:docPr id="1" name="Picture 1" descr="C:\Users\Robin Work\AppData\Local\Microsoft\Windows\INetCache\Content.Word\VMIAC_txt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Work\AppData\Local\Microsoft\Windows\INetCache\Content.Word\VMIAC_txt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12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787">
      <w:rPr>
        <w:rFonts w:ascii="Arial" w:hAnsi="Arial" w:cs="Arial"/>
        <w:b/>
        <w:bCs/>
        <w:color w:val="7030A0"/>
      </w:rPr>
      <w:t>NOTE:</w:t>
    </w:r>
    <w:r w:rsidRPr="00D23787">
      <w:rPr>
        <w:rFonts w:ascii="Arial" w:hAnsi="Arial" w:cs="Arial"/>
      </w:rPr>
      <w:t xml:space="preserve"> The following is a summary of the information from the consultation document, a section that summarises what consumers have said about that subject and then a space for you to write down what you think. You could use this space to draft your answer to the question and then cut and paste this into the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989"/>
    <w:multiLevelType w:val="hybridMultilevel"/>
    <w:tmpl w:val="8A489700"/>
    <w:lvl w:ilvl="0" w:tplc="633090A4">
      <w:start w:val="1"/>
      <w:numFmt w:val="bullet"/>
      <w:lvlText w:val=""/>
      <w:lvlJc w:val="left"/>
      <w:pPr>
        <w:ind w:left="720" w:hanging="360"/>
      </w:pPr>
      <w:rPr>
        <w:rFonts w:ascii="Symbol" w:hAnsi="Symbol" w:hint="default"/>
        <w:color w:val="7030A0"/>
      </w:rPr>
    </w:lvl>
    <w:lvl w:ilvl="1" w:tplc="64CEC39A">
      <w:start w:val="1"/>
      <w:numFmt w:val="bullet"/>
      <w:lvlText w:val="o"/>
      <w:lvlJc w:val="left"/>
      <w:pPr>
        <w:ind w:left="1440" w:hanging="360"/>
      </w:pPr>
      <w:rPr>
        <w:rFonts w:ascii="Courier New" w:hAnsi="Courier New" w:cs="Courier New" w:hint="default"/>
        <w:color w:val="7030A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9B1D2C"/>
    <w:multiLevelType w:val="hybridMultilevel"/>
    <w:tmpl w:val="64E6345A"/>
    <w:lvl w:ilvl="0" w:tplc="C324C8FE">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42"/>
    <w:rsid w:val="000645F2"/>
    <w:rsid w:val="00300189"/>
    <w:rsid w:val="00324E42"/>
    <w:rsid w:val="00B903F5"/>
    <w:rsid w:val="00B97B62"/>
    <w:rsid w:val="00DE6ACA"/>
    <w:rsid w:val="00F97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59EE"/>
  <w15:chartTrackingRefBased/>
  <w15:docId w15:val="{D3CAC3CE-8172-4336-A335-2B097821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2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E42"/>
    <w:rPr>
      <w:color w:val="0563C1" w:themeColor="hyperlink"/>
      <w:u w:val="single"/>
    </w:rPr>
  </w:style>
  <w:style w:type="paragraph" w:styleId="ListParagraph">
    <w:name w:val="List Paragraph"/>
    <w:basedOn w:val="Normal"/>
    <w:uiPriority w:val="34"/>
    <w:qFormat/>
    <w:rsid w:val="00324E42"/>
    <w:pPr>
      <w:ind w:left="720"/>
      <w:contextualSpacing/>
    </w:pPr>
  </w:style>
  <w:style w:type="table" w:styleId="TableGrid">
    <w:name w:val="Table Grid"/>
    <w:basedOn w:val="TableNormal"/>
    <w:uiPriority w:val="39"/>
    <w:rsid w:val="0032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F5"/>
  </w:style>
  <w:style w:type="paragraph" w:styleId="Footer">
    <w:name w:val="footer"/>
    <w:basedOn w:val="Normal"/>
    <w:link w:val="FooterChar"/>
    <w:uiPriority w:val="99"/>
    <w:unhideWhenUsed/>
    <w:rsid w:val="00B9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miac.org.au/wp-content/uploads/Supported-Decision-Mak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Vrinda Edan</dc:creator>
  <cp:keywords/>
  <dc:description/>
  <cp:lastModifiedBy>Robin Litvins-Salter</cp:lastModifiedBy>
  <cp:revision>3</cp:revision>
  <dcterms:created xsi:type="dcterms:W3CDTF">2021-06-22T01:32:00Z</dcterms:created>
  <dcterms:modified xsi:type="dcterms:W3CDTF">2021-06-22T04:08:00Z</dcterms:modified>
</cp:coreProperties>
</file>