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2549"/>
        <w:gridCol w:w="4533"/>
        <w:gridCol w:w="8306"/>
      </w:tblGrid>
      <w:tr w:rsidR="006A10F2" w:rsidRPr="00571FB1" w14:paraId="6E902189" w14:textId="77777777" w:rsidTr="005F5732">
        <w:tc>
          <w:tcPr>
            <w:tcW w:w="5000" w:type="pct"/>
            <w:gridSpan w:val="3"/>
            <w:shd w:val="clear" w:color="auto" w:fill="9751CB"/>
          </w:tcPr>
          <w:p w14:paraId="5FC39DF8" w14:textId="7EB1BBFD" w:rsidR="006A10F2" w:rsidRPr="00571FB1" w:rsidRDefault="006A10F2" w:rsidP="005F5732">
            <w:pPr>
              <w:rPr>
                <w:rFonts w:ascii="Arial" w:eastAsia="Calibri" w:hAnsi="Arial" w:cs="Arial"/>
                <w:b/>
                <w:bCs/>
                <w:color w:val="FFFFFF" w:themeColor="background1"/>
                <w:sz w:val="24"/>
                <w:szCs w:val="24"/>
              </w:rPr>
            </w:pPr>
            <w:r w:rsidRPr="00571FB1">
              <w:rPr>
                <w:rFonts w:ascii="Arial" w:eastAsia="Calibri" w:hAnsi="Arial" w:cs="Arial"/>
                <w:b/>
                <w:bCs/>
                <w:color w:val="FFFFFF" w:themeColor="background1"/>
                <w:sz w:val="24"/>
                <w:szCs w:val="24"/>
              </w:rPr>
              <w:t xml:space="preserve">INFORMATION SHARING </w:t>
            </w:r>
            <w:r w:rsidRPr="00571FB1">
              <w:rPr>
                <w:rFonts w:ascii="Arial" w:eastAsia="Calibri" w:hAnsi="Arial" w:cs="Arial"/>
                <w:color w:val="FFFFFF" w:themeColor="background1"/>
                <w:sz w:val="24"/>
                <w:szCs w:val="24"/>
              </w:rPr>
              <w:t>(Section 3.3)</w:t>
            </w:r>
          </w:p>
        </w:tc>
      </w:tr>
      <w:tr w:rsidR="006A10F2" w:rsidRPr="00571FB1" w14:paraId="32C7EE60" w14:textId="77777777" w:rsidTr="005F5732">
        <w:tc>
          <w:tcPr>
            <w:tcW w:w="5000" w:type="pct"/>
            <w:gridSpan w:val="3"/>
            <w:shd w:val="clear" w:color="auto" w:fill="auto"/>
          </w:tcPr>
          <w:p w14:paraId="2A637AEF" w14:textId="77777777" w:rsidR="006A10F2" w:rsidRPr="00571FB1" w:rsidRDefault="006A10F2" w:rsidP="005F5732">
            <w:pPr>
              <w:rPr>
                <w:rFonts w:ascii="Arial" w:eastAsia="Calibri" w:hAnsi="Arial" w:cs="Arial"/>
                <w:sz w:val="20"/>
                <w:szCs w:val="20"/>
              </w:rPr>
            </w:pPr>
            <w:r w:rsidRPr="00571FB1">
              <w:rPr>
                <w:rFonts w:ascii="Arial" w:eastAsia="Calibri" w:hAnsi="Arial" w:cs="Arial"/>
                <w:sz w:val="20"/>
                <w:szCs w:val="20"/>
              </w:rPr>
              <w:t xml:space="preserve">The </w:t>
            </w:r>
            <w:r w:rsidRPr="00571FB1">
              <w:rPr>
                <w:rFonts w:ascii="Arial" w:eastAsia="Calibri" w:hAnsi="Arial" w:cs="Arial"/>
                <w:b/>
                <w:bCs/>
                <w:color w:val="7030A0"/>
                <w:sz w:val="20"/>
                <w:szCs w:val="20"/>
              </w:rPr>
              <w:t>Royal Commission made many recommendations</w:t>
            </w:r>
            <w:r w:rsidRPr="00571FB1">
              <w:rPr>
                <w:rFonts w:ascii="Arial" w:eastAsia="Calibri" w:hAnsi="Arial" w:cs="Arial"/>
                <w:color w:val="7030A0"/>
                <w:sz w:val="20"/>
                <w:szCs w:val="20"/>
              </w:rPr>
              <w:t xml:space="preserve"> </w:t>
            </w:r>
            <w:r w:rsidRPr="00571FB1">
              <w:rPr>
                <w:rFonts w:ascii="Arial" w:eastAsia="Calibri" w:hAnsi="Arial" w:cs="Arial"/>
                <w:sz w:val="20"/>
                <w:szCs w:val="20"/>
              </w:rPr>
              <w:t>that relate to information sharing.  Many are not directly related to the new act but are about how new systems and guidelines should be introduced.</w:t>
            </w:r>
          </w:p>
          <w:p w14:paraId="456FE789" w14:textId="77777777" w:rsidR="006A10F2" w:rsidRPr="00571FB1" w:rsidRDefault="006A10F2" w:rsidP="005F5732">
            <w:pPr>
              <w:rPr>
                <w:rFonts w:ascii="Arial" w:eastAsia="Calibri" w:hAnsi="Arial" w:cs="Arial"/>
                <w:sz w:val="20"/>
                <w:szCs w:val="20"/>
              </w:rPr>
            </w:pPr>
          </w:p>
          <w:p w14:paraId="71123BE6" w14:textId="77777777" w:rsidR="006A10F2" w:rsidRPr="00571FB1" w:rsidRDefault="006A10F2" w:rsidP="005F5732">
            <w:pPr>
              <w:rPr>
                <w:rFonts w:ascii="Arial" w:eastAsia="Calibri" w:hAnsi="Arial" w:cs="Arial"/>
                <w:b/>
                <w:bCs/>
                <w:color w:val="7030A0"/>
                <w:sz w:val="20"/>
                <w:szCs w:val="20"/>
              </w:rPr>
            </w:pPr>
            <w:r w:rsidRPr="00571FB1">
              <w:rPr>
                <w:rFonts w:ascii="Arial" w:eastAsia="Calibri" w:hAnsi="Arial" w:cs="Arial"/>
                <w:sz w:val="20"/>
                <w:szCs w:val="20"/>
              </w:rPr>
              <w:t xml:space="preserve">Specific to the new act, the commission recommended that:  the Mental Health and Wellbeing Act </w:t>
            </w:r>
            <w:r w:rsidRPr="00571FB1">
              <w:rPr>
                <w:rFonts w:ascii="Arial" w:eastAsia="Calibri" w:hAnsi="Arial" w:cs="Arial"/>
                <w:b/>
                <w:bCs/>
                <w:color w:val="7030A0"/>
                <w:sz w:val="20"/>
                <w:szCs w:val="20"/>
              </w:rPr>
              <w:t>specifies the ways in which information about mental health and wellbeing may be collected and used.</w:t>
            </w:r>
          </w:p>
          <w:p w14:paraId="6390CB2E" w14:textId="77777777" w:rsidR="006A10F2" w:rsidRPr="00571FB1" w:rsidRDefault="006A10F2" w:rsidP="005F5732">
            <w:pPr>
              <w:rPr>
                <w:rFonts w:ascii="Arial" w:eastAsia="Calibri" w:hAnsi="Arial" w:cs="Arial"/>
                <w:sz w:val="20"/>
                <w:szCs w:val="20"/>
              </w:rPr>
            </w:pPr>
          </w:p>
          <w:p w14:paraId="44CFA1D1" w14:textId="77777777" w:rsidR="006A10F2" w:rsidRPr="00571FB1" w:rsidRDefault="006A10F2" w:rsidP="005F5732">
            <w:pPr>
              <w:rPr>
                <w:rFonts w:ascii="Arial" w:eastAsia="Calibri" w:hAnsi="Arial" w:cs="Arial"/>
                <w:sz w:val="20"/>
                <w:szCs w:val="20"/>
              </w:rPr>
            </w:pPr>
            <w:r w:rsidRPr="00571FB1">
              <w:rPr>
                <w:rFonts w:ascii="Arial" w:eastAsia="Calibri" w:hAnsi="Arial" w:cs="Arial"/>
                <w:sz w:val="20"/>
                <w:szCs w:val="20"/>
              </w:rPr>
              <w:t>The consultation paper discusses a new information infrastructure that will be developed in a sperate process.</w:t>
            </w:r>
          </w:p>
          <w:p w14:paraId="6C7F9D4C" w14:textId="77777777" w:rsidR="006A10F2" w:rsidRPr="00571FB1" w:rsidRDefault="006A10F2" w:rsidP="005F5732">
            <w:pPr>
              <w:rPr>
                <w:rFonts w:ascii="Arial" w:eastAsia="Calibri" w:hAnsi="Arial" w:cs="Arial"/>
                <w:sz w:val="20"/>
                <w:szCs w:val="20"/>
              </w:rPr>
            </w:pPr>
          </w:p>
          <w:p w14:paraId="76C26CA9" w14:textId="77777777" w:rsidR="006A10F2" w:rsidRPr="00571FB1" w:rsidRDefault="006A10F2" w:rsidP="005F5732">
            <w:pPr>
              <w:rPr>
                <w:rFonts w:ascii="Arial" w:eastAsia="Calibri" w:hAnsi="Arial" w:cs="Arial"/>
                <w:sz w:val="20"/>
                <w:szCs w:val="20"/>
              </w:rPr>
            </w:pPr>
            <w:r w:rsidRPr="00571FB1">
              <w:rPr>
                <w:rFonts w:ascii="Arial" w:eastAsia="Calibri" w:hAnsi="Arial" w:cs="Arial"/>
                <w:sz w:val="20"/>
                <w:szCs w:val="20"/>
              </w:rPr>
              <w:t xml:space="preserve">The </w:t>
            </w:r>
            <w:r w:rsidRPr="00571FB1">
              <w:rPr>
                <w:rFonts w:ascii="Arial" w:eastAsia="Calibri" w:hAnsi="Arial" w:cs="Arial"/>
                <w:b/>
                <w:bCs/>
                <w:color w:val="7030A0"/>
                <w:sz w:val="20"/>
                <w:szCs w:val="20"/>
              </w:rPr>
              <w:t xml:space="preserve">proposed changes to the </w:t>
            </w:r>
            <w:r w:rsidRPr="00571FB1">
              <w:rPr>
                <w:rFonts w:ascii="Arial" w:eastAsia="Calibri" w:hAnsi="Arial" w:cs="Arial"/>
                <w:b/>
                <w:bCs/>
                <w:sz w:val="20"/>
                <w:szCs w:val="20"/>
              </w:rPr>
              <w:t>act</w:t>
            </w:r>
            <w:r w:rsidRPr="00571FB1">
              <w:rPr>
                <w:rFonts w:ascii="Arial" w:eastAsia="Calibri" w:hAnsi="Arial" w:cs="Arial"/>
                <w:sz w:val="20"/>
                <w:szCs w:val="20"/>
              </w:rPr>
              <w:t xml:space="preserve"> include:</w:t>
            </w:r>
          </w:p>
          <w:p w14:paraId="1BCF7992" w14:textId="77777777" w:rsidR="006A10F2" w:rsidRPr="00571FB1" w:rsidRDefault="006A10F2" w:rsidP="006A10F2">
            <w:pPr>
              <w:pStyle w:val="ListParagraph"/>
              <w:numPr>
                <w:ilvl w:val="0"/>
                <w:numId w:val="1"/>
              </w:numPr>
              <w:rPr>
                <w:rFonts w:ascii="Arial" w:eastAsia="Calibri" w:hAnsi="Arial" w:cs="Arial"/>
                <w:sz w:val="20"/>
                <w:szCs w:val="20"/>
              </w:rPr>
            </w:pPr>
            <w:r w:rsidRPr="00571FB1">
              <w:rPr>
                <w:rFonts w:ascii="Arial" w:eastAsia="Calibri" w:hAnsi="Arial" w:cs="Arial"/>
                <w:b/>
                <w:bCs/>
                <w:color w:val="FF0000"/>
                <w:sz w:val="20"/>
                <w:szCs w:val="20"/>
              </w:rPr>
              <w:t>New principles</w:t>
            </w:r>
            <w:r w:rsidRPr="00571FB1">
              <w:rPr>
                <w:rFonts w:ascii="Arial" w:eastAsia="Calibri" w:hAnsi="Arial" w:cs="Arial"/>
                <w:color w:val="FF0000"/>
                <w:sz w:val="20"/>
                <w:szCs w:val="20"/>
              </w:rPr>
              <w:t xml:space="preserve"> </w:t>
            </w:r>
            <w:r w:rsidRPr="00571FB1">
              <w:rPr>
                <w:rFonts w:ascii="Arial" w:eastAsia="Calibri" w:hAnsi="Arial" w:cs="Arial"/>
                <w:sz w:val="20"/>
                <w:szCs w:val="20"/>
              </w:rPr>
              <w:t>that will guide information collection include:</w:t>
            </w:r>
          </w:p>
          <w:p w14:paraId="0177985B"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providing consumers with access to their own information as soon as reasonably practicable after it is requested.</w:t>
            </w:r>
          </w:p>
          <w:p w14:paraId="641C8504"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respect and dignity when recording consumer information.</w:t>
            </w:r>
          </w:p>
          <w:p w14:paraId="3527DFDE"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respect for consumers’ diverse backgrounds and needs.</w:t>
            </w:r>
          </w:p>
          <w:p w14:paraId="55C41ECA"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accountability for high-quality information collection and use</w:t>
            </w:r>
          </w:p>
          <w:p w14:paraId="5FDE0EBC"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consumer consent and privacy</w:t>
            </w:r>
          </w:p>
          <w:p w14:paraId="64E83CF4"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supporting transitions between services or care levels, and integrated services</w:t>
            </w:r>
          </w:p>
          <w:p w14:paraId="3C7743BE"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the important role of families, carers and supporters and their need to access appropriate information and the importance of information sharing to promote and maintain their physical, emotional, cultural and psychological safety.</w:t>
            </w:r>
            <w:r w:rsidRPr="00571FB1">
              <w:rPr>
                <w:rFonts w:ascii="Arial" w:hAnsi="Arial" w:cs="Arial"/>
              </w:rPr>
              <w:t xml:space="preserve"> </w:t>
            </w:r>
          </w:p>
          <w:p w14:paraId="466EA777"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the right of Aboriginal and Torres Strait Islander people to self-determination and to have their information shared in a way that is culturally sensitive and considers their familial and community connections.</w:t>
            </w:r>
          </w:p>
          <w:p w14:paraId="1E1B5919" w14:textId="77777777" w:rsidR="006A10F2" w:rsidRPr="00571FB1" w:rsidRDefault="006A10F2" w:rsidP="006A10F2">
            <w:pPr>
              <w:pStyle w:val="ListParagraph"/>
              <w:numPr>
                <w:ilvl w:val="1"/>
                <w:numId w:val="1"/>
              </w:numPr>
              <w:rPr>
                <w:rFonts w:ascii="Arial" w:eastAsia="Calibri" w:hAnsi="Arial" w:cs="Arial"/>
                <w:sz w:val="20"/>
                <w:szCs w:val="20"/>
              </w:rPr>
            </w:pPr>
            <w:r w:rsidRPr="00571FB1">
              <w:rPr>
                <w:rFonts w:ascii="Arial" w:eastAsia="Calibri" w:hAnsi="Arial" w:cs="Arial"/>
                <w:sz w:val="20"/>
                <w:szCs w:val="20"/>
              </w:rPr>
              <w:t>transparency between service providers and consumers in relation to information sharing.</w:t>
            </w:r>
          </w:p>
          <w:p w14:paraId="1A35D7E5" w14:textId="77777777" w:rsidR="006A10F2" w:rsidRPr="00571FB1" w:rsidRDefault="006A10F2" w:rsidP="005F5732">
            <w:pPr>
              <w:pStyle w:val="ListParagraph"/>
              <w:ind w:left="1440"/>
              <w:rPr>
                <w:rFonts w:ascii="Arial" w:eastAsia="Calibri" w:hAnsi="Arial" w:cs="Arial"/>
                <w:sz w:val="20"/>
                <w:szCs w:val="20"/>
              </w:rPr>
            </w:pPr>
          </w:p>
          <w:p w14:paraId="1EA82E6E" w14:textId="77777777" w:rsidR="006A10F2" w:rsidRPr="00571FB1" w:rsidRDefault="006A10F2" w:rsidP="006A10F2">
            <w:pPr>
              <w:pStyle w:val="ListParagraph"/>
              <w:numPr>
                <w:ilvl w:val="0"/>
                <w:numId w:val="1"/>
              </w:numPr>
              <w:rPr>
                <w:rFonts w:ascii="Arial" w:eastAsia="Calibri" w:hAnsi="Arial" w:cs="Arial"/>
                <w:sz w:val="20"/>
                <w:szCs w:val="20"/>
              </w:rPr>
            </w:pPr>
            <w:r w:rsidRPr="00571FB1">
              <w:rPr>
                <w:rFonts w:ascii="Arial" w:eastAsia="Calibri" w:hAnsi="Arial" w:cs="Arial"/>
                <w:sz w:val="20"/>
                <w:szCs w:val="20"/>
              </w:rPr>
              <w:t>Consumers will also be able to provide further instructions about information sharing through an advance statement.</w:t>
            </w:r>
          </w:p>
          <w:p w14:paraId="3509FB51" w14:textId="77777777" w:rsidR="006A10F2" w:rsidRPr="00571FB1" w:rsidRDefault="006A10F2" w:rsidP="005F5732">
            <w:pPr>
              <w:pStyle w:val="ListParagraph"/>
              <w:rPr>
                <w:rFonts w:ascii="Arial" w:eastAsia="Calibri" w:hAnsi="Arial" w:cs="Arial"/>
                <w:sz w:val="20"/>
                <w:szCs w:val="20"/>
              </w:rPr>
            </w:pPr>
          </w:p>
          <w:p w14:paraId="5AFB2598" w14:textId="77777777" w:rsidR="006A10F2" w:rsidRPr="00571FB1" w:rsidRDefault="006A10F2" w:rsidP="006A10F2">
            <w:pPr>
              <w:pStyle w:val="ListParagraph"/>
              <w:numPr>
                <w:ilvl w:val="0"/>
                <w:numId w:val="1"/>
              </w:numPr>
              <w:rPr>
                <w:rFonts w:ascii="Arial" w:eastAsia="Calibri" w:hAnsi="Arial" w:cs="Arial"/>
                <w:sz w:val="20"/>
                <w:szCs w:val="20"/>
              </w:rPr>
            </w:pPr>
            <w:r w:rsidRPr="00571FB1">
              <w:rPr>
                <w:rFonts w:ascii="Arial" w:eastAsia="Calibri" w:hAnsi="Arial" w:cs="Arial"/>
                <w:sz w:val="20"/>
                <w:szCs w:val="20"/>
              </w:rPr>
              <w:t>Consumers will be able to ask that a statement be included on their record if they disagree with the information in the record.</w:t>
            </w:r>
          </w:p>
          <w:p w14:paraId="6FDE29E2" w14:textId="77777777" w:rsidR="006A10F2" w:rsidRPr="00571FB1" w:rsidRDefault="006A10F2" w:rsidP="005F5732">
            <w:pPr>
              <w:rPr>
                <w:rFonts w:ascii="Arial" w:eastAsia="Calibri" w:hAnsi="Arial" w:cs="Arial"/>
                <w:sz w:val="20"/>
                <w:szCs w:val="20"/>
              </w:rPr>
            </w:pPr>
          </w:p>
          <w:p w14:paraId="38F9B1FF" w14:textId="77777777" w:rsidR="006A10F2" w:rsidRPr="00571FB1" w:rsidRDefault="006A10F2" w:rsidP="006A10F2">
            <w:pPr>
              <w:pStyle w:val="ListParagraph"/>
              <w:numPr>
                <w:ilvl w:val="0"/>
                <w:numId w:val="1"/>
              </w:numPr>
              <w:rPr>
                <w:rFonts w:ascii="Arial" w:eastAsia="Calibri" w:hAnsi="Arial" w:cs="Arial"/>
                <w:sz w:val="20"/>
                <w:szCs w:val="20"/>
              </w:rPr>
            </w:pPr>
            <w:r w:rsidRPr="00571FB1">
              <w:rPr>
                <w:rFonts w:ascii="Arial" w:eastAsia="Calibri" w:hAnsi="Arial" w:cs="Arial"/>
                <w:sz w:val="20"/>
                <w:szCs w:val="20"/>
              </w:rPr>
              <w:t>New provisions will allow some basic information to be shared across the broader social service system. Consumer will be able to say this shouldn’t be shared</w:t>
            </w:r>
          </w:p>
          <w:p w14:paraId="5E2E56E1" w14:textId="77777777" w:rsidR="006A10F2" w:rsidRPr="00571FB1" w:rsidRDefault="006A10F2" w:rsidP="005F5732">
            <w:pPr>
              <w:rPr>
                <w:rFonts w:ascii="Arial" w:eastAsia="Calibri" w:hAnsi="Arial" w:cs="Arial"/>
                <w:color w:val="FFFFFF"/>
                <w:sz w:val="20"/>
                <w:szCs w:val="20"/>
              </w:rPr>
            </w:pPr>
          </w:p>
        </w:tc>
      </w:tr>
      <w:tr w:rsidR="006A10F2" w:rsidRPr="00571FB1" w14:paraId="3AB3172F" w14:textId="77777777" w:rsidTr="005F5732">
        <w:tc>
          <w:tcPr>
            <w:tcW w:w="828" w:type="pct"/>
            <w:shd w:val="clear" w:color="auto" w:fill="FF4343"/>
          </w:tcPr>
          <w:p w14:paraId="3B109D49" w14:textId="77777777" w:rsidR="006A10F2" w:rsidRPr="00571FB1" w:rsidRDefault="006A10F2" w:rsidP="005F5732">
            <w:pPr>
              <w:rPr>
                <w:rFonts w:ascii="Arial" w:eastAsia="Calibri" w:hAnsi="Arial" w:cs="Arial"/>
                <w:b/>
                <w:color w:val="FFFFFF"/>
                <w:sz w:val="24"/>
                <w:szCs w:val="24"/>
              </w:rPr>
            </w:pPr>
            <w:r w:rsidRPr="00571FB1">
              <w:rPr>
                <w:rFonts w:ascii="Arial" w:eastAsia="Calibri" w:hAnsi="Arial" w:cs="Arial"/>
                <w:b/>
                <w:color w:val="FFFFFF"/>
                <w:sz w:val="24"/>
                <w:szCs w:val="24"/>
              </w:rPr>
              <w:t>Question</w:t>
            </w:r>
          </w:p>
        </w:tc>
        <w:tc>
          <w:tcPr>
            <w:tcW w:w="1473" w:type="pct"/>
            <w:shd w:val="clear" w:color="auto" w:fill="FF4343"/>
          </w:tcPr>
          <w:p w14:paraId="076ECD25" w14:textId="77777777" w:rsidR="006A10F2" w:rsidRPr="00571FB1" w:rsidRDefault="006A10F2" w:rsidP="005F5732">
            <w:pPr>
              <w:rPr>
                <w:rFonts w:ascii="Arial" w:eastAsia="Calibri" w:hAnsi="Arial" w:cs="Arial"/>
                <w:b/>
                <w:color w:val="FFFFFF"/>
                <w:sz w:val="24"/>
                <w:szCs w:val="24"/>
              </w:rPr>
            </w:pPr>
            <w:r w:rsidRPr="00571FB1">
              <w:rPr>
                <w:rFonts w:ascii="Arial" w:eastAsia="Calibri" w:hAnsi="Arial" w:cs="Arial"/>
                <w:b/>
                <w:color w:val="FFFFFF"/>
                <w:sz w:val="24"/>
                <w:szCs w:val="24"/>
              </w:rPr>
              <w:t>What has been said by consumers</w:t>
            </w:r>
          </w:p>
        </w:tc>
        <w:tc>
          <w:tcPr>
            <w:tcW w:w="2699" w:type="pct"/>
            <w:shd w:val="clear" w:color="auto" w:fill="FF4343"/>
          </w:tcPr>
          <w:p w14:paraId="40C0ACD4" w14:textId="77777777" w:rsidR="006A10F2" w:rsidRPr="00571FB1" w:rsidRDefault="006A10F2" w:rsidP="005F5732">
            <w:pPr>
              <w:rPr>
                <w:rFonts w:ascii="Arial" w:eastAsia="Calibri" w:hAnsi="Arial" w:cs="Arial"/>
                <w:b/>
                <w:color w:val="FFFFFF"/>
                <w:sz w:val="24"/>
                <w:szCs w:val="24"/>
              </w:rPr>
            </w:pPr>
            <w:r w:rsidRPr="00571FB1">
              <w:rPr>
                <w:rFonts w:ascii="Arial" w:eastAsia="Calibri" w:hAnsi="Arial" w:cs="Arial"/>
                <w:b/>
                <w:color w:val="FFFFFF"/>
                <w:sz w:val="24"/>
                <w:szCs w:val="24"/>
              </w:rPr>
              <w:t>Your ideas for answering the questions</w:t>
            </w:r>
          </w:p>
        </w:tc>
      </w:tr>
      <w:tr w:rsidR="006A10F2" w:rsidRPr="00571FB1" w14:paraId="0061D146" w14:textId="77777777" w:rsidTr="005F5732">
        <w:tc>
          <w:tcPr>
            <w:tcW w:w="828" w:type="pct"/>
            <w:shd w:val="clear" w:color="auto" w:fill="auto"/>
          </w:tcPr>
          <w:p w14:paraId="2C699F80" w14:textId="77777777" w:rsidR="00571FB1" w:rsidRPr="00571FB1" w:rsidRDefault="006A10F2" w:rsidP="00971F9E">
            <w:pPr>
              <w:rPr>
                <w:rFonts w:ascii="Arial" w:eastAsia="Calibri" w:hAnsi="Arial" w:cs="Arial"/>
                <w:b/>
                <w:sz w:val="20"/>
                <w:szCs w:val="20"/>
              </w:rPr>
            </w:pPr>
            <w:bookmarkStart w:id="0" w:name="_GoBack" w:colFirst="0" w:colLast="0"/>
            <w:r w:rsidRPr="00571FB1">
              <w:rPr>
                <w:rFonts w:ascii="Arial" w:eastAsia="Calibri" w:hAnsi="Arial" w:cs="Arial"/>
                <w:b/>
                <w:color w:val="FF0000"/>
                <w:sz w:val="20"/>
                <w:szCs w:val="20"/>
              </w:rPr>
              <w:t>Question 7:</w:t>
            </w:r>
          </w:p>
          <w:p w14:paraId="038D3B92" w14:textId="2B09A773" w:rsidR="006A10F2" w:rsidRPr="00571FB1" w:rsidRDefault="006A10F2" w:rsidP="00971F9E">
            <w:pPr>
              <w:rPr>
                <w:rFonts w:ascii="Arial" w:eastAsia="Calibri" w:hAnsi="Arial" w:cs="Arial"/>
                <w:sz w:val="20"/>
                <w:szCs w:val="20"/>
              </w:rPr>
            </w:pPr>
            <w:r w:rsidRPr="00571FB1">
              <w:rPr>
                <w:rFonts w:ascii="Arial" w:eastAsia="Calibri" w:hAnsi="Arial" w:cs="Arial"/>
                <w:sz w:val="20"/>
                <w:szCs w:val="20"/>
              </w:rPr>
              <w:t xml:space="preserve"> Do you think the proposals meet the Royal Commission’s recommendations about information collection, use and sharing? (Section 3.3 in the paper)</w:t>
            </w:r>
          </w:p>
          <w:p w14:paraId="5C330D2E" w14:textId="77777777" w:rsidR="006A10F2" w:rsidRPr="00571FB1" w:rsidRDefault="006A10F2" w:rsidP="00971F9E">
            <w:pPr>
              <w:rPr>
                <w:rFonts w:ascii="Arial" w:eastAsia="Calibri" w:hAnsi="Arial" w:cs="Arial"/>
                <w:sz w:val="20"/>
                <w:szCs w:val="20"/>
              </w:rPr>
            </w:pPr>
          </w:p>
          <w:p w14:paraId="2D8D7FF2" w14:textId="77777777" w:rsidR="006A10F2" w:rsidRPr="00571FB1" w:rsidRDefault="006A10F2" w:rsidP="00971F9E">
            <w:pPr>
              <w:rPr>
                <w:rFonts w:ascii="Arial" w:eastAsia="Calibri" w:hAnsi="Arial" w:cs="Arial"/>
                <w:sz w:val="20"/>
                <w:szCs w:val="20"/>
              </w:rPr>
            </w:pPr>
          </w:p>
          <w:p w14:paraId="28721F69" w14:textId="77777777" w:rsidR="006A10F2" w:rsidRPr="00571FB1" w:rsidRDefault="006A10F2" w:rsidP="00971F9E">
            <w:pPr>
              <w:rPr>
                <w:rFonts w:ascii="Arial" w:eastAsia="Calibri" w:hAnsi="Arial" w:cs="Arial"/>
                <w:sz w:val="20"/>
                <w:szCs w:val="20"/>
              </w:rPr>
            </w:pPr>
          </w:p>
          <w:p w14:paraId="3D2BD756" w14:textId="77777777" w:rsidR="006A10F2" w:rsidRPr="00571FB1" w:rsidRDefault="006A10F2" w:rsidP="00971F9E">
            <w:pPr>
              <w:rPr>
                <w:rFonts w:ascii="Arial" w:eastAsia="Calibri" w:hAnsi="Arial" w:cs="Arial"/>
                <w:sz w:val="20"/>
                <w:szCs w:val="20"/>
              </w:rPr>
            </w:pPr>
          </w:p>
          <w:p w14:paraId="55F0D010" w14:textId="77777777" w:rsidR="006A10F2" w:rsidRPr="00571FB1" w:rsidRDefault="006A10F2" w:rsidP="00971F9E">
            <w:pPr>
              <w:rPr>
                <w:rFonts w:ascii="Arial" w:eastAsia="Calibri" w:hAnsi="Arial" w:cs="Arial"/>
                <w:sz w:val="20"/>
                <w:szCs w:val="20"/>
              </w:rPr>
            </w:pPr>
          </w:p>
          <w:p w14:paraId="126ADD24" w14:textId="77777777" w:rsidR="006A10F2" w:rsidRPr="00571FB1" w:rsidRDefault="006A10F2" w:rsidP="00971F9E">
            <w:pPr>
              <w:rPr>
                <w:rFonts w:ascii="Arial" w:eastAsia="Calibri" w:hAnsi="Arial" w:cs="Arial"/>
                <w:sz w:val="20"/>
                <w:szCs w:val="20"/>
              </w:rPr>
            </w:pPr>
          </w:p>
          <w:p w14:paraId="28B27410" w14:textId="77777777" w:rsidR="006A10F2" w:rsidRPr="00571FB1" w:rsidRDefault="006A10F2" w:rsidP="00971F9E">
            <w:pPr>
              <w:rPr>
                <w:rFonts w:ascii="Arial" w:eastAsia="Calibri" w:hAnsi="Arial" w:cs="Arial"/>
                <w:sz w:val="20"/>
                <w:szCs w:val="20"/>
              </w:rPr>
            </w:pPr>
          </w:p>
          <w:p w14:paraId="611B5650" w14:textId="77777777" w:rsidR="006A10F2" w:rsidRPr="00571FB1" w:rsidRDefault="006A10F2" w:rsidP="00971F9E">
            <w:pPr>
              <w:rPr>
                <w:rFonts w:ascii="Arial" w:eastAsia="Calibri" w:hAnsi="Arial" w:cs="Arial"/>
                <w:sz w:val="20"/>
                <w:szCs w:val="20"/>
              </w:rPr>
            </w:pPr>
          </w:p>
          <w:p w14:paraId="70CB265B" w14:textId="77777777" w:rsidR="006A10F2" w:rsidRPr="00571FB1" w:rsidRDefault="006A10F2" w:rsidP="00971F9E">
            <w:pPr>
              <w:rPr>
                <w:rFonts w:ascii="Arial" w:eastAsia="Calibri" w:hAnsi="Arial" w:cs="Arial"/>
                <w:sz w:val="20"/>
                <w:szCs w:val="20"/>
              </w:rPr>
            </w:pPr>
          </w:p>
          <w:p w14:paraId="3C8B7575" w14:textId="77777777" w:rsidR="006A10F2" w:rsidRPr="00571FB1" w:rsidRDefault="006A10F2" w:rsidP="00971F9E">
            <w:pPr>
              <w:rPr>
                <w:rFonts w:ascii="Arial" w:eastAsia="Calibri" w:hAnsi="Arial" w:cs="Arial"/>
                <w:sz w:val="20"/>
                <w:szCs w:val="20"/>
              </w:rPr>
            </w:pPr>
          </w:p>
          <w:p w14:paraId="4D25E1D8" w14:textId="77777777" w:rsidR="006A10F2" w:rsidRPr="00571FB1" w:rsidRDefault="006A10F2" w:rsidP="00971F9E">
            <w:pPr>
              <w:rPr>
                <w:rFonts w:ascii="Arial" w:eastAsia="Calibri" w:hAnsi="Arial" w:cs="Arial"/>
                <w:sz w:val="20"/>
                <w:szCs w:val="20"/>
              </w:rPr>
            </w:pPr>
          </w:p>
          <w:p w14:paraId="4155FB3A" w14:textId="77777777" w:rsidR="006A10F2" w:rsidRPr="00571FB1" w:rsidRDefault="006A10F2" w:rsidP="00971F9E">
            <w:pPr>
              <w:rPr>
                <w:rFonts w:ascii="Arial" w:eastAsia="Calibri" w:hAnsi="Arial" w:cs="Arial"/>
                <w:sz w:val="20"/>
                <w:szCs w:val="20"/>
              </w:rPr>
            </w:pPr>
          </w:p>
          <w:p w14:paraId="1A93BF28" w14:textId="77777777" w:rsidR="006A10F2" w:rsidRPr="00571FB1" w:rsidRDefault="006A10F2" w:rsidP="00971F9E">
            <w:pPr>
              <w:rPr>
                <w:rFonts w:ascii="Arial" w:eastAsia="Calibri" w:hAnsi="Arial" w:cs="Arial"/>
                <w:sz w:val="20"/>
                <w:szCs w:val="20"/>
              </w:rPr>
            </w:pPr>
          </w:p>
          <w:p w14:paraId="31192844" w14:textId="77777777" w:rsidR="006A10F2" w:rsidRPr="00571FB1" w:rsidRDefault="006A10F2" w:rsidP="00971F9E">
            <w:pPr>
              <w:rPr>
                <w:rFonts w:ascii="Arial" w:eastAsia="Calibri" w:hAnsi="Arial" w:cs="Arial"/>
                <w:sz w:val="20"/>
                <w:szCs w:val="20"/>
              </w:rPr>
            </w:pPr>
          </w:p>
        </w:tc>
        <w:tc>
          <w:tcPr>
            <w:tcW w:w="1473" w:type="pct"/>
            <w:vMerge w:val="restart"/>
            <w:shd w:val="clear" w:color="auto" w:fill="auto"/>
          </w:tcPr>
          <w:p w14:paraId="2D2A7E2A" w14:textId="77777777" w:rsidR="006A10F2" w:rsidRPr="00571FB1" w:rsidRDefault="006A10F2" w:rsidP="005F5732">
            <w:pPr>
              <w:pStyle w:val="ListParagraph"/>
              <w:ind w:left="315"/>
              <w:rPr>
                <w:rFonts w:ascii="Arial" w:eastAsia="Calibri" w:hAnsi="Arial" w:cs="Arial"/>
                <w:sz w:val="20"/>
                <w:szCs w:val="20"/>
              </w:rPr>
            </w:pPr>
          </w:p>
          <w:p w14:paraId="5236D358"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t>real time access to medical files by consumers</w:t>
            </w:r>
          </w:p>
          <w:p w14:paraId="1C56B8C1" w14:textId="77777777" w:rsidR="006A10F2" w:rsidRPr="00571FB1" w:rsidRDefault="006A10F2" w:rsidP="005F5732">
            <w:pPr>
              <w:pStyle w:val="ListParagraph"/>
              <w:ind w:left="315"/>
              <w:rPr>
                <w:rFonts w:ascii="Arial" w:eastAsia="Calibri" w:hAnsi="Arial" w:cs="Arial"/>
                <w:sz w:val="20"/>
                <w:szCs w:val="20"/>
              </w:rPr>
            </w:pPr>
          </w:p>
          <w:p w14:paraId="45FA792A"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t>right to make changes and corrections to medical files by consumers</w:t>
            </w:r>
          </w:p>
          <w:p w14:paraId="35070AD0" w14:textId="77777777" w:rsidR="006A10F2" w:rsidRPr="00571FB1" w:rsidRDefault="006A10F2" w:rsidP="005F5732">
            <w:pPr>
              <w:pStyle w:val="ListParagraph"/>
              <w:rPr>
                <w:rFonts w:ascii="Arial" w:eastAsia="Calibri" w:hAnsi="Arial" w:cs="Arial"/>
                <w:sz w:val="20"/>
                <w:szCs w:val="20"/>
              </w:rPr>
            </w:pPr>
          </w:p>
          <w:p w14:paraId="6A369D22"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t>right of consumers to add information to their medical file.</w:t>
            </w:r>
          </w:p>
          <w:p w14:paraId="4C371DCF"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lastRenderedPageBreak/>
              <w:t xml:space="preserve">The only time information </w:t>
            </w:r>
            <w:proofErr w:type="gramStart"/>
            <w:r w:rsidRPr="00571FB1">
              <w:rPr>
                <w:rFonts w:ascii="Arial" w:eastAsia="Calibri" w:hAnsi="Arial" w:cs="Arial"/>
                <w:sz w:val="20"/>
                <w:szCs w:val="20"/>
              </w:rPr>
              <w:t>should be shared</w:t>
            </w:r>
            <w:proofErr w:type="gramEnd"/>
            <w:r w:rsidRPr="00571FB1">
              <w:rPr>
                <w:rFonts w:ascii="Arial" w:eastAsia="Calibri" w:hAnsi="Arial" w:cs="Arial"/>
                <w:sz w:val="20"/>
                <w:szCs w:val="20"/>
              </w:rPr>
              <w:t xml:space="preserve"> without consent is when the person is physically unable to (</w:t>
            </w:r>
            <w:proofErr w:type="spellStart"/>
            <w:r w:rsidRPr="00571FB1">
              <w:rPr>
                <w:rFonts w:ascii="Arial" w:eastAsia="Calibri" w:hAnsi="Arial" w:cs="Arial"/>
                <w:sz w:val="20"/>
                <w:szCs w:val="20"/>
              </w:rPr>
              <w:t>ie</w:t>
            </w:r>
            <w:proofErr w:type="spellEnd"/>
            <w:r w:rsidRPr="00571FB1">
              <w:rPr>
                <w:rFonts w:ascii="Arial" w:eastAsia="Calibri" w:hAnsi="Arial" w:cs="Arial"/>
                <w:sz w:val="20"/>
                <w:szCs w:val="20"/>
              </w:rPr>
              <w:t xml:space="preserve"> in a coma) and when children are at risk and mandatory reporting is necessary.  Under these circumstances what has been shared must be reported to the consumer and entered into the medical record.</w:t>
            </w:r>
          </w:p>
          <w:p w14:paraId="797F5CB9" w14:textId="77777777" w:rsidR="006A10F2" w:rsidRPr="00571FB1" w:rsidRDefault="006A10F2" w:rsidP="005F5732">
            <w:pPr>
              <w:pStyle w:val="ListParagraph"/>
              <w:ind w:left="315"/>
              <w:rPr>
                <w:rFonts w:ascii="Arial" w:eastAsia="Calibri" w:hAnsi="Arial" w:cs="Arial"/>
                <w:sz w:val="20"/>
                <w:szCs w:val="20"/>
              </w:rPr>
            </w:pPr>
          </w:p>
          <w:p w14:paraId="26150CD6"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t>the sharing of medical information on the grounds of imminent harm to others should not be permitted, only the necessary information to keep someone safe should be shared.</w:t>
            </w:r>
          </w:p>
          <w:p w14:paraId="109A2950" w14:textId="77777777" w:rsidR="006A10F2" w:rsidRPr="00571FB1" w:rsidRDefault="006A10F2" w:rsidP="005F5732">
            <w:pPr>
              <w:rPr>
                <w:rFonts w:ascii="Arial" w:eastAsia="Calibri" w:hAnsi="Arial" w:cs="Arial"/>
                <w:sz w:val="20"/>
                <w:szCs w:val="20"/>
              </w:rPr>
            </w:pPr>
          </w:p>
          <w:p w14:paraId="052FA50D" w14:textId="77777777" w:rsidR="006A10F2" w:rsidRPr="00571FB1" w:rsidRDefault="006A10F2" w:rsidP="006A10F2">
            <w:pPr>
              <w:pStyle w:val="ListParagraph"/>
              <w:numPr>
                <w:ilvl w:val="0"/>
                <w:numId w:val="2"/>
              </w:numPr>
              <w:ind w:left="315"/>
              <w:rPr>
                <w:rFonts w:ascii="Arial" w:eastAsia="Calibri" w:hAnsi="Arial" w:cs="Arial"/>
                <w:sz w:val="20"/>
                <w:szCs w:val="20"/>
              </w:rPr>
            </w:pPr>
            <w:r w:rsidRPr="00571FB1">
              <w:rPr>
                <w:rFonts w:ascii="Arial" w:eastAsia="Calibri" w:hAnsi="Arial" w:cs="Arial"/>
                <w:sz w:val="20"/>
                <w:szCs w:val="20"/>
              </w:rPr>
              <w:t>Have a provision for consumers to identify when a person or service cannot have access to information (excluded persons)</w:t>
            </w:r>
          </w:p>
        </w:tc>
        <w:tc>
          <w:tcPr>
            <w:tcW w:w="2699" w:type="pct"/>
            <w:shd w:val="clear" w:color="auto" w:fill="auto"/>
          </w:tcPr>
          <w:p w14:paraId="0FDBA60A" w14:textId="77777777" w:rsidR="006A10F2" w:rsidRPr="00571FB1" w:rsidRDefault="006A10F2" w:rsidP="005F5732">
            <w:pPr>
              <w:rPr>
                <w:rFonts w:ascii="Arial" w:hAnsi="Arial" w:cs="Arial"/>
                <w:color w:val="FF0000"/>
                <w:sz w:val="20"/>
                <w:szCs w:val="20"/>
                <w:shd w:val="clear" w:color="auto" w:fill="FFFFFF"/>
              </w:rPr>
            </w:pPr>
            <w:r w:rsidRPr="00571FB1">
              <w:rPr>
                <w:rFonts w:ascii="Arial" w:hAnsi="Arial" w:cs="Arial"/>
                <w:color w:val="FF0000"/>
                <w:sz w:val="20"/>
                <w:szCs w:val="20"/>
                <w:shd w:val="clear" w:color="auto" w:fill="FFFFFF"/>
              </w:rPr>
              <w:lastRenderedPageBreak/>
              <w:t>Your response to Question 7</w:t>
            </w:r>
          </w:p>
          <w:p w14:paraId="787D7797" w14:textId="77777777" w:rsidR="006A10F2" w:rsidRPr="00571FB1" w:rsidRDefault="006A10F2" w:rsidP="005F5732">
            <w:pPr>
              <w:rPr>
                <w:rFonts w:ascii="Arial" w:hAnsi="Arial" w:cs="Arial"/>
                <w:color w:val="FF0000"/>
                <w:sz w:val="20"/>
                <w:szCs w:val="20"/>
              </w:rPr>
            </w:pPr>
            <w:r w:rsidRPr="00571FB1">
              <w:rPr>
                <w:rFonts w:ascii="Arial" w:hAnsi="Arial" w:cs="Arial"/>
                <w:color w:val="FF0000"/>
                <w:sz w:val="20"/>
                <w:szCs w:val="20"/>
              </w:rPr>
              <w:t>If no, why?</w:t>
            </w:r>
          </w:p>
        </w:tc>
      </w:tr>
      <w:tr w:rsidR="006A10F2" w:rsidRPr="00571FB1" w14:paraId="7BA82B43" w14:textId="77777777" w:rsidTr="005F5732">
        <w:tc>
          <w:tcPr>
            <w:tcW w:w="828" w:type="pct"/>
            <w:shd w:val="clear" w:color="auto" w:fill="auto"/>
          </w:tcPr>
          <w:p w14:paraId="2E609B42" w14:textId="77777777" w:rsidR="00571FB1" w:rsidRDefault="006A10F2" w:rsidP="00971F9E">
            <w:pPr>
              <w:rPr>
                <w:rFonts w:ascii="Arial" w:hAnsi="Arial" w:cs="Arial"/>
                <w:color w:val="011A3C"/>
                <w:sz w:val="20"/>
                <w:szCs w:val="20"/>
                <w:shd w:val="clear" w:color="auto" w:fill="FFFFFF"/>
              </w:rPr>
            </w:pPr>
            <w:r w:rsidRPr="00571FB1">
              <w:rPr>
                <w:rFonts w:ascii="Arial" w:hAnsi="Arial" w:cs="Arial"/>
                <w:b/>
                <w:color w:val="FF0000"/>
                <w:sz w:val="20"/>
                <w:szCs w:val="20"/>
                <w:shd w:val="clear" w:color="auto" w:fill="FFFFFF"/>
              </w:rPr>
              <w:t>Question 8:</w:t>
            </w:r>
            <w:r w:rsidRPr="00571FB1">
              <w:rPr>
                <w:rFonts w:ascii="Arial" w:hAnsi="Arial" w:cs="Arial"/>
                <w:color w:val="011A3C"/>
                <w:sz w:val="20"/>
                <w:szCs w:val="20"/>
                <w:shd w:val="clear" w:color="auto" w:fill="FFFFFF"/>
              </w:rPr>
              <w:t xml:space="preserve"> </w:t>
            </w:r>
          </w:p>
          <w:p w14:paraId="43A60FD2" w14:textId="6B18B83B" w:rsidR="006A10F2" w:rsidRPr="00571FB1" w:rsidRDefault="006A10F2" w:rsidP="00971F9E">
            <w:pPr>
              <w:rPr>
                <w:rFonts w:ascii="Arial" w:hAnsi="Arial" w:cs="Arial"/>
                <w:color w:val="011A3C"/>
                <w:sz w:val="20"/>
                <w:szCs w:val="20"/>
                <w:shd w:val="clear" w:color="auto" w:fill="FFFFFF"/>
              </w:rPr>
            </w:pPr>
            <w:r w:rsidRPr="00571FB1">
              <w:rPr>
                <w:rFonts w:ascii="Arial" w:hAnsi="Arial" w:cs="Arial"/>
                <w:sz w:val="20"/>
                <w:szCs w:val="20"/>
                <w:shd w:val="clear" w:color="auto" w:fill="FFFFFF"/>
              </w:rPr>
              <w:t xml:space="preserve">How do you think the proposals about information collection, use and sharing </w:t>
            </w:r>
            <w:proofErr w:type="gramStart"/>
            <w:r w:rsidRPr="00571FB1">
              <w:rPr>
                <w:rFonts w:ascii="Arial" w:hAnsi="Arial" w:cs="Arial"/>
                <w:sz w:val="20"/>
                <w:szCs w:val="20"/>
                <w:shd w:val="clear" w:color="auto" w:fill="FFFFFF"/>
              </w:rPr>
              <w:t>could be improved</w:t>
            </w:r>
            <w:proofErr w:type="gramEnd"/>
            <w:r w:rsidRPr="00571FB1">
              <w:rPr>
                <w:rFonts w:ascii="Arial" w:hAnsi="Arial" w:cs="Arial"/>
                <w:sz w:val="20"/>
                <w:szCs w:val="20"/>
                <w:shd w:val="clear" w:color="auto" w:fill="FFFFFF"/>
              </w:rPr>
              <w:t>? (Section 3.3 in the paper)</w:t>
            </w:r>
          </w:p>
          <w:p w14:paraId="54B9B744" w14:textId="77777777" w:rsidR="006A10F2" w:rsidRPr="00571FB1" w:rsidRDefault="006A10F2" w:rsidP="00971F9E">
            <w:pPr>
              <w:rPr>
                <w:rFonts w:ascii="Arial" w:hAnsi="Arial" w:cs="Arial"/>
                <w:color w:val="011A3C"/>
                <w:sz w:val="20"/>
                <w:szCs w:val="20"/>
                <w:shd w:val="clear" w:color="auto" w:fill="FFFFFF"/>
              </w:rPr>
            </w:pPr>
          </w:p>
          <w:p w14:paraId="73B89AF8" w14:textId="77777777" w:rsidR="006A10F2" w:rsidRPr="00571FB1" w:rsidRDefault="006A10F2" w:rsidP="00971F9E">
            <w:pPr>
              <w:rPr>
                <w:rFonts w:ascii="Arial" w:hAnsi="Arial" w:cs="Arial"/>
                <w:color w:val="011A3C"/>
                <w:sz w:val="20"/>
                <w:szCs w:val="20"/>
                <w:shd w:val="clear" w:color="auto" w:fill="FFFFFF"/>
              </w:rPr>
            </w:pPr>
          </w:p>
          <w:p w14:paraId="0C1E122F" w14:textId="77777777" w:rsidR="006A10F2" w:rsidRPr="00571FB1" w:rsidRDefault="006A10F2" w:rsidP="00971F9E">
            <w:pPr>
              <w:rPr>
                <w:rFonts w:ascii="Arial" w:hAnsi="Arial" w:cs="Arial"/>
                <w:color w:val="011A3C"/>
                <w:sz w:val="20"/>
                <w:szCs w:val="20"/>
                <w:shd w:val="clear" w:color="auto" w:fill="FFFFFF"/>
              </w:rPr>
            </w:pPr>
          </w:p>
          <w:p w14:paraId="78AC52BD" w14:textId="77777777" w:rsidR="006A10F2" w:rsidRPr="00571FB1" w:rsidRDefault="006A10F2" w:rsidP="00971F9E">
            <w:pPr>
              <w:rPr>
                <w:rFonts w:ascii="Arial" w:hAnsi="Arial" w:cs="Arial"/>
                <w:color w:val="011A3C"/>
                <w:sz w:val="20"/>
                <w:szCs w:val="20"/>
                <w:shd w:val="clear" w:color="auto" w:fill="FFFFFF"/>
              </w:rPr>
            </w:pPr>
          </w:p>
          <w:p w14:paraId="05EF094F" w14:textId="77777777" w:rsidR="006A10F2" w:rsidRPr="00571FB1" w:rsidRDefault="006A10F2" w:rsidP="00971F9E">
            <w:pPr>
              <w:rPr>
                <w:rFonts w:ascii="Arial" w:hAnsi="Arial" w:cs="Arial"/>
                <w:color w:val="011A3C"/>
                <w:sz w:val="20"/>
                <w:szCs w:val="20"/>
                <w:shd w:val="clear" w:color="auto" w:fill="FFFFFF"/>
              </w:rPr>
            </w:pPr>
          </w:p>
          <w:p w14:paraId="3E44DDDD" w14:textId="77777777" w:rsidR="006A10F2" w:rsidRPr="00571FB1" w:rsidRDefault="006A10F2" w:rsidP="00971F9E">
            <w:pPr>
              <w:rPr>
                <w:rFonts w:ascii="Arial" w:hAnsi="Arial" w:cs="Arial"/>
                <w:color w:val="011A3C"/>
                <w:sz w:val="20"/>
                <w:szCs w:val="20"/>
                <w:shd w:val="clear" w:color="auto" w:fill="FFFFFF"/>
              </w:rPr>
            </w:pPr>
          </w:p>
          <w:p w14:paraId="730029AB" w14:textId="77777777" w:rsidR="006A10F2" w:rsidRPr="00571FB1" w:rsidRDefault="006A10F2" w:rsidP="00971F9E">
            <w:pPr>
              <w:rPr>
                <w:rFonts w:ascii="Arial" w:hAnsi="Arial" w:cs="Arial"/>
                <w:color w:val="011A3C"/>
                <w:sz w:val="20"/>
                <w:szCs w:val="20"/>
                <w:shd w:val="clear" w:color="auto" w:fill="FFFFFF"/>
              </w:rPr>
            </w:pPr>
          </w:p>
          <w:p w14:paraId="684B82C6" w14:textId="77777777" w:rsidR="006A10F2" w:rsidRPr="00571FB1" w:rsidRDefault="006A10F2" w:rsidP="00971F9E">
            <w:pPr>
              <w:rPr>
                <w:rFonts w:ascii="Arial" w:hAnsi="Arial" w:cs="Arial"/>
                <w:color w:val="011A3C"/>
                <w:sz w:val="20"/>
                <w:szCs w:val="20"/>
                <w:shd w:val="clear" w:color="auto" w:fill="FFFFFF"/>
              </w:rPr>
            </w:pPr>
          </w:p>
          <w:p w14:paraId="33E4D74C" w14:textId="77777777" w:rsidR="006A10F2" w:rsidRPr="00571FB1" w:rsidRDefault="006A10F2" w:rsidP="00971F9E">
            <w:pPr>
              <w:rPr>
                <w:rFonts w:ascii="Arial" w:hAnsi="Arial" w:cs="Arial"/>
                <w:color w:val="011A3C"/>
                <w:sz w:val="20"/>
                <w:szCs w:val="20"/>
                <w:shd w:val="clear" w:color="auto" w:fill="FFFFFF"/>
              </w:rPr>
            </w:pPr>
          </w:p>
          <w:p w14:paraId="6D2451A1" w14:textId="77777777" w:rsidR="006A10F2" w:rsidRPr="00571FB1" w:rsidRDefault="006A10F2" w:rsidP="00971F9E">
            <w:pPr>
              <w:rPr>
                <w:rFonts w:ascii="Arial" w:eastAsia="Calibri" w:hAnsi="Arial" w:cs="Arial"/>
                <w:color w:val="FFFFFF"/>
                <w:sz w:val="20"/>
                <w:szCs w:val="20"/>
              </w:rPr>
            </w:pPr>
          </w:p>
        </w:tc>
        <w:tc>
          <w:tcPr>
            <w:tcW w:w="1473" w:type="pct"/>
            <w:vMerge/>
            <w:shd w:val="clear" w:color="auto" w:fill="auto"/>
          </w:tcPr>
          <w:p w14:paraId="255C7138" w14:textId="77777777" w:rsidR="006A10F2" w:rsidRPr="00571FB1" w:rsidRDefault="006A10F2" w:rsidP="005F5732">
            <w:pPr>
              <w:rPr>
                <w:rFonts w:ascii="Arial" w:eastAsia="Calibri" w:hAnsi="Arial" w:cs="Arial"/>
                <w:sz w:val="20"/>
                <w:szCs w:val="20"/>
              </w:rPr>
            </w:pPr>
          </w:p>
        </w:tc>
        <w:tc>
          <w:tcPr>
            <w:tcW w:w="2699" w:type="pct"/>
            <w:shd w:val="clear" w:color="auto" w:fill="auto"/>
          </w:tcPr>
          <w:p w14:paraId="66704230" w14:textId="77777777" w:rsidR="006A10F2" w:rsidRPr="00571FB1" w:rsidRDefault="006A10F2" w:rsidP="005F5732">
            <w:pPr>
              <w:rPr>
                <w:rFonts w:ascii="Arial" w:hAnsi="Arial" w:cs="Arial"/>
                <w:color w:val="FF0000"/>
                <w:sz w:val="20"/>
                <w:szCs w:val="20"/>
              </w:rPr>
            </w:pPr>
            <w:r w:rsidRPr="00571FB1">
              <w:rPr>
                <w:rFonts w:ascii="Arial" w:hAnsi="Arial" w:cs="Arial"/>
                <w:color w:val="FF0000"/>
                <w:sz w:val="20"/>
                <w:szCs w:val="20"/>
                <w:shd w:val="clear" w:color="auto" w:fill="FFFFFF"/>
              </w:rPr>
              <w:t>Your response to Question 8</w:t>
            </w:r>
          </w:p>
        </w:tc>
      </w:tr>
      <w:bookmarkEnd w:id="0"/>
    </w:tbl>
    <w:p w14:paraId="7D90A4E5" w14:textId="77777777" w:rsidR="006A10F2" w:rsidRPr="00571FB1" w:rsidRDefault="006A10F2" w:rsidP="006A10F2">
      <w:pPr>
        <w:rPr>
          <w:rFonts w:ascii="Arial" w:hAnsi="Arial" w:cs="Arial"/>
          <w:sz w:val="20"/>
          <w:szCs w:val="20"/>
        </w:rPr>
      </w:pPr>
    </w:p>
    <w:p w14:paraId="44A41959" w14:textId="77777777" w:rsidR="00EB3417" w:rsidRPr="00571FB1" w:rsidRDefault="00DC27F5">
      <w:pPr>
        <w:rPr>
          <w:rFonts w:ascii="Arial" w:hAnsi="Arial" w:cs="Arial"/>
        </w:rPr>
      </w:pPr>
    </w:p>
    <w:sectPr w:rsidR="00EB3417" w:rsidRPr="00571FB1" w:rsidSect="00571FB1">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EF24" w14:textId="77777777" w:rsidR="00DC27F5" w:rsidRDefault="00DC27F5" w:rsidP="00571FB1">
      <w:pPr>
        <w:spacing w:after="0" w:line="240" w:lineRule="auto"/>
      </w:pPr>
      <w:r>
        <w:separator/>
      </w:r>
    </w:p>
  </w:endnote>
  <w:endnote w:type="continuationSeparator" w:id="0">
    <w:p w14:paraId="7DCE9768" w14:textId="77777777" w:rsidR="00DC27F5" w:rsidRDefault="00DC27F5"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57D8E" w14:textId="77777777" w:rsidR="00DC27F5" w:rsidRDefault="00DC27F5" w:rsidP="00571FB1">
      <w:pPr>
        <w:spacing w:after="0" w:line="240" w:lineRule="auto"/>
      </w:pPr>
      <w:r>
        <w:separator/>
      </w:r>
    </w:p>
  </w:footnote>
  <w:footnote w:type="continuationSeparator" w:id="0">
    <w:p w14:paraId="221C3792" w14:textId="77777777" w:rsidR="00DC27F5" w:rsidRDefault="00DC27F5" w:rsidP="0057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45D9" w14:textId="0552F38E" w:rsidR="00571FB1" w:rsidRPr="00571FB1" w:rsidRDefault="00571FB1" w:rsidP="00571FB1">
    <w:pPr>
      <w:rPr>
        <w:rFonts w:ascii="Arial" w:hAnsi="Arial" w:cs="Arial"/>
      </w:rPr>
    </w:pPr>
    <w:r>
      <w:rPr>
        <w:noProof/>
        <w:lang w:val="en-US"/>
      </w:rPr>
      <w:drawing>
        <wp:anchor distT="0" distB="0" distL="114300" distR="114300" simplePos="0" relativeHeight="251659264" behindDoc="0" locked="0" layoutInCell="1" allowOverlap="1" wp14:anchorId="5CA2CB39" wp14:editId="6C5B36F3">
          <wp:simplePos x="0" y="0"/>
          <wp:positionH relativeFrom="column">
            <wp:posOffset>7464425</wp:posOffset>
          </wp:positionH>
          <wp:positionV relativeFrom="paragraph">
            <wp:posOffset>-144780</wp:posOffset>
          </wp:positionV>
          <wp:extent cx="2270125" cy="689610"/>
          <wp:effectExtent l="0" t="0" r="0" b="0"/>
          <wp:wrapSquare wrapText="bothSides"/>
          <wp:docPr id="1" name="Picture 1" descr="VMIAC_txt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IAC_txt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896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7030A0"/>
      </w:rPr>
      <w:t>NOTE:</w:t>
    </w:r>
    <w:r>
      <w:rPr>
        <w:rFonts w:ascii="Arial" w:hAnsi="Arial" w:cs="Arial"/>
      </w:rPr>
      <w:t xml:space="preserve"> The following is a summary of the information from the consultation document, a section that summarises what consumers have said about that subject and then a space for you to write down what you think. You could use this space to draft your answer to the question and then cut and paste this into the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E44"/>
    <w:multiLevelType w:val="hybridMultilevel"/>
    <w:tmpl w:val="EA380192"/>
    <w:lvl w:ilvl="0" w:tplc="8C1CA746">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D772B0"/>
    <w:multiLevelType w:val="hybridMultilevel"/>
    <w:tmpl w:val="2CCAC59C"/>
    <w:lvl w:ilvl="0" w:tplc="157CA396">
      <w:start w:val="1"/>
      <w:numFmt w:val="bullet"/>
      <w:lvlText w:val=""/>
      <w:lvlJc w:val="left"/>
      <w:pPr>
        <w:ind w:left="720" w:hanging="360"/>
      </w:pPr>
      <w:rPr>
        <w:rFonts w:ascii="Symbol" w:hAnsi="Symbol" w:hint="default"/>
        <w:color w:val="7030A0"/>
      </w:rPr>
    </w:lvl>
    <w:lvl w:ilvl="1" w:tplc="982446C8">
      <w:start w:val="1"/>
      <w:numFmt w:val="bullet"/>
      <w:lvlText w:val="o"/>
      <w:lvlJc w:val="left"/>
      <w:pPr>
        <w:ind w:left="1440" w:hanging="360"/>
      </w:pPr>
      <w:rPr>
        <w:rFonts w:ascii="Courier New" w:hAnsi="Courier New" w:cs="Courier New" w:hint="default"/>
        <w:color w:val="7030A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F2"/>
    <w:rsid w:val="000645F2"/>
    <w:rsid w:val="00571FB1"/>
    <w:rsid w:val="006A10F2"/>
    <w:rsid w:val="008079CD"/>
    <w:rsid w:val="00971F9E"/>
    <w:rsid w:val="00DC27F5"/>
    <w:rsid w:val="00F9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FC28"/>
  <w15:chartTrackingRefBased/>
  <w15:docId w15:val="{EF012B29-FB6A-4ED8-AF8C-FADC5D6B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A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0F2"/>
    <w:pPr>
      <w:ind w:left="720"/>
      <w:contextualSpacing/>
    </w:pPr>
  </w:style>
  <w:style w:type="table" w:styleId="TableGrid">
    <w:name w:val="Table Grid"/>
    <w:basedOn w:val="TableNormal"/>
    <w:uiPriority w:val="39"/>
    <w:rsid w:val="006A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B1"/>
  </w:style>
  <w:style w:type="paragraph" w:styleId="Footer">
    <w:name w:val="footer"/>
    <w:basedOn w:val="Normal"/>
    <w:link w:val="FooterChar"/>
    <w:uiPriority w:val="99"/>
    <w:unhideWhenUsed/>
    <w:rsid w:val="0057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829777">
      <w:bodyDiv w:val="1"/>
      <w:marLeft w:val="0"/>
      <w:marRight w:val="0"/>
      <w:marTop w:val="0"/>
      <w:marBottom w:val="0"/>
      <w:divBdr>
        <w:top w:val="none" w:sz="0" w:space="0" w:color="auto"/>
        <w:left w:val="none" w:sz="0" w:space="0" w:color="auto"/>
        <w:bottom w:val="none" w:sz="0" w:space="0" w:color="auto"/>
        <w:right w:val="none" w:sz="0" w:space="0" w:color="auto"/>
      </w:divBdr>
      <w:divsChild>
        <w:div w:id="1362634527">
          <w:marLeft w:val="0"/>
          <w:marRight w:val="0"/>
          <w:marTop w:val="0"/>
          <w:marBottom w:val="0"/>
          <w:divBdr>
            <w:top w:val="none" w:sz="0" w:space="0" w:color="auto"/>
            <w:left w:val="none" w:sz="0" w:space="0" w:color="auto"/>
            <w:bottom w:val="none" w:sz="0" w:space="0" w:color="auto"/>
            <w:right w:val="none" w:sz="0" w:space="0" w:color="auto"/>
          </w:divBdr>
        </w:div>
      </w:divsChild>
    </w:div>
    <w:div w:id="21201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3</cp:revision>
  <dcterms:created xsi:type="dcterms:W3CDTF">2021-06-22T03:21:00Z</dcterms:created>
  <dcterms:modified xsi:type="dcterms:W3CDTF">2021-06-22T04:08:00Z</dcterms:modified>
</cp:coreProperties>
</file>